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79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3437822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F68B4B" w14:textId="77777777" w:rsidR="008B0DB0" w:rsidRPr="008B0DB0" w:rsidRDefault="008B0DB0">
          <w:pPr>
            <w:pStyle w:val="TOCHeading"/>
            <w:rPr>
              <w:b/>
              <w:color w:val="auto"/>
            </w:rPr>
          </w:pPr>
          <w:proofErr w:type="spellStart"/>
          <w:r w:rsidRPr="008B0DB0">
            <w:rPr>
              <w:b/>
              <w:color w:val="auto"/>
            </w:rPr>
            <w:t>Efnisyfirlit</w:t>
          </w:r>
          <w:proofErr w:type="spellEnd"/>
        </w:p>
        <w:p w14:paraId="1B338912" w14:textId="227DF808" w:rsidR="00CC5F2A" w:rsidRDefault="008B0DB0">
          <w:pPr>
            <w:pStyle w:val="TOC3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485119" w:history="1">
            <w:r w:rsidR="00CC5F2A" w:rsidRPr="00300751">
              <w:rPr>
                <w:rStyle w:val="Hyperlink"/>
                <w:noProof/>
              </w:rPr>
              <w:t>Uppspenna og grautun  - Almenn verklýsing</w:t>
            </w:r>
            <w:r w:rsidR="00CC5F2A">
              <w:rPr>
                <w:noProof/>
                <w:webHidden/>
              </w:rPr>
              <w:tab/>
            </w:r>
            <w:r w:rsidR="00CC5F2A">
              <w:rPr>
                <w:noProof/>
                <w:webHidden/>
              </w:rPr>
              <w:fldChar w:fldCharType="begin"/>
            </w:r>
            <w:r w:rsidR="00CC5F2A">
              <w:rPr>
                <w:noProof/>
                <w:webHidden/>
              </w:rPr>
              <w:instrText xml:space="preserve"> PAGEREF _Toc74485119 \h </w:instrText>
            </w:r>
            <w:r w:rsidR="00CC5F2A">
              <w:rPr>
                <w:noProof/>
                <w:webHidden/>
              </w:rPr>
            </w:r>
            <w:r w:rsidR="00CC5F2A">
              <w:rPr>
                <w:noProof/>
                <w:webHidden/>
              </w:rPr>
              <w:fldChar w:fldCharType="separate"/>
            </w:r>
            <w:r w:rsidR="00CC5F2A">
              <w:rPr>
                <w:noProof/>
                <w:webHidden/>
              </w:rPr>
              <w:t>1</w:t>
            </w:r>
            <w:r w:rsidR="00CC5F2A">
              <w:rPr>
                <w:noProof/>
                <w:webHidden/>
              </w:rPr>
              <w:fldChar w:fldCharType="end"/>
            </w:r>
          </w:hyperlink>
        </w:p>
        <w:p w14:paraId="231E4850" w14:textId="448909FC" w:rsidR="00CC5F2A" w:rsidRDefault="001C7CDE">
          <w:pPr>
            <w:pStyle w:val="TOC1"/>
            <w:tabs>
              <w:tab w:val="left" w:pos="88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74485120" w:history="1">
            <w:r w:rsidR="00CC5F2A" w:rsidRPr="00300751">
              <w:rPr>
                <w:rStyle w:val="Hyperlink"/>
                <w:noProof/>
              </w:rPr>
              <w:t>84.37</w:t>
            </w:r>
            <w:r w:rsidR="00CC5F2A">
              <w:rPr>
                <w:rFonts w:asciiTheme="minorHAnsi" w:eastAsiaTheme="minorEastAsia" w:hAnsiTheme="minorHAnsi"/>
                <w:noProof/>
                <w:sz w:val="22"/>
                <w:lang w:eastAsia="is-IS"/>
              </w:rPr>
              <w:tab/>
            </w:r>
            <w:r w:rsidR="00CC5F2A" w:rsidRPr="00300751">
              <w:rPr>
                <w:rStyle w:val="Hyperlink"/>
                <w:noProof/>
              </w:rPr>
              <w:t xml:space="preserve"> Uppspenna og grautun</w:t>
            </w:r>
            <w:r w:rsidR="00CC5F2A">
              <w:rPr>
                <w:noProof/>
                <w:webHidden/>
              </w:rPr>
              <w:tab/>
            </w:r>
            <w:r w:rsidR="00CC5F2A">
              <w:rPr>
                <w:noProof/>
                <w:webHidden/>
              </w:rPr>
              <w:fldChar w:fldCharType="begin"/>
            </w:r>
            <w:r w:rsidR="00CC5F2A">
              <w:rPr>
                <w:noProof/>
                <w:webHidden/>
              </w:rPr>
              <w:instrText xml:space="preserve"> PAGEREF _Toc74485120 \h </w:instrText>
            </w:r>
            <w:r w:rsidR="00CC5F2A">
              <w:rPr>
                <w:noProof/>
                <w:webHidden/>
              </w:rPr>
            </w:r>
            <w:r w:rsidR="00CC5F2A">
              <w:rPr>
                <w:noProof/>
                <w:webHidden/>
              </w:rPr>
              <w:fldChar w:fldCharType="separate"/>
            </w:r>
            <w:r w:rsidR="00CC5F2A">
              <w:rPr>
                <w:noProof/>
                <w:webHidden/>
              </w:rPr>
              <w:t>5</w:t>
            </w:r>
            <w:r w:rsidR="00CC5F2A">
              <w:rPr>
                <w:noProof/>
                <w:webHidden/>
              </w:rPr>
              <w:fldChar w:fldCharType="end"/>
            </w:r>
          </w:hyperlink>
        </w:p>
        <w:p w14:paraId="2737A80F" w14:textId="5BC8F78F" w:rsidR="008B0DB0" w:rsidRDefault="008B0DB0">
          <w:r>
            <w:rPr>
              <w:b/>
              <w:bCs/>
              <w:noProof/>
            </w:rPr>
            <w:fldChar w:fldCharType="end"/>
          </w:r>
        </w:p>
      </w:sdtContent>
    </w:sdt>
    <w:p w14:paraId="1D370006" w14:textId="77777777" w:rsidR="00AC23BC" w:rsidRPr="0047272B" w:rsidRDefault="001C448F" w:rsidP="00D21EC6">
      <w:pPr>
        <w:pStyle w:val="Heading3"/>
        <w:tabs>
          <w:tab w:val="clear" w:pos="1134"/>
        </w:tabs>
        <w:ind w:left="0"/>
        <w:rPr>
          <w:color w:val="auto"/>
        </w:rPr>
      </w:pPr>
      <w:bookmarkStart w:id="1" w:name="_Toc74485119"/>
      <w:bookmarkStart w:id="2" w:name="_Toc452705335"/>
      <w:bookmarkStart w:id="3" w:name="_Toc483844210"/>
      <w:bookmarkEnd w:id="0"/>
      <w:r>
        <w:rPr>
          <w:color w:val="auto"/>
        </w:rPr>
        <w:t>Uppspenna og grautun</w:t>
      </w:r>
      <w:r w:rsidR="006F36E7">
        <w:rPr>
          <w:color w:val="auto"/>
        </w:rPr>
        <w:t xml:space="preserve">  -</w:t>
      </w:r>
      <w:r w:rsidR="006F36E7" w:rsidRPr="006F36E7">
        <w:rPr>
          <w:color w:val="auto"/>
        </w:rPr>
        <w:t xml:space="preserve"> </w:t>
      </w:r>
      <w:r w:rsidR="006F36E7" w:rsidRPr="0047272B">
        <w:rPr>
          <w:color w:val="auto"/>
        </w:rPr>
        <w:t>Almenn verklýsing</w:t>
      </w:r>
      <w:bookmarkEnd w:id="1"/>
      <w:r w:rsidR="006F36E7">
        <w:rPr>
          <w:color w:val="auto"/>
        </w:rPr>
        <w:t xml:space="preserve"> </w:t>
      </w:r>
      <w:r w:rsidR="006F36E7" w:rsidRPr="0047272B">
        <w:rPr>
          <w:color w:val="auto"/>
        </w:rPr>
        <w:t xml:space="preserve"> </w:t>
      </w:r>
      <w:bookmarkEnd w:id="2"/>
      <w:bookmarkEnd w:id="3"/>
    </w:p>
    <w:p w14:paraId="62089EF9" w14:textId="77777777" w:rsidR="006F36E7" w:rsidRPr="00B10640" w:rsidRDefault="006F36E7" w:rsidP="006F36E7">
      <w:pPr>
        <w:numPr>
          <w:ilvl w:val="0"/>
          <w:numId w:val="4"/>
        </w:numPr>
        <w:ind w:left="567" w:hanging="578"/>
        <w:rPr>
          <w:b/>
          <w:bCs/>
          <w:iCs/>
          <w:szCs w:val="26"/>
        </w:rPr>
      </w:pPr>
      <w:r w:rsidRPr="00B10640">
        <w:rPr>
          <w:b/>
          <w:bCs/>
          <w:iCs/>
          <w:szCs w:val="26"/>
        </w:rPr>
        <w:t>Verksvið</w:t>
      </w:r>
    </w:p>
    <w:p w14:paraId="7FC7AA84" w14:textId="77777777" w:rsidR="001C448F" w:rsidRPr="001C448F" w:rsidRDefault="002A2DEF" w:rsidP="002316A3">
      <w:pPr>
        <w:pStyle w:val="Liurtexti"/>
      </w:pPr>
      <w:r>
        <w:t>Í v</w:t>
      </w:r>
      <w:r w:rsidR="001C448F" w:rsidRPr="001C448F">
        <w:t>erkþ</w:t>
      </w:r>
      <w:r>
        <w:t xml:space="preserve">ætti er </w:t>
      </w:r>
      <w:r w:rsidR="001C448F" w:rsidRPr="001C448F">
        <w:t>innif</w:t>
      </w:r>
      <w:r>
        <w:t>alinn</w:t>
      </w:r>
      <w:r w:rsidR="001C448F" w:rsidRPr="001C448F">
        <w:t xml:space="preserve"> all</w:t>
      </w:r>
      <w:r>
        <w:t>ur</w:t>
      </w:r>
      <w:r w:rsidR="001C448F" w:rsidRPr="001C448F">
        <w:t xml:space="preserve"> kostnað, efni, vinn</w:t>
      </w:r>
      <w:r>
        <w:t>a</w:t>
      </w:r>
      <w:r w:rsidR="001C448F" w:rsidRPr="001C448F">
        <w:t xml:space="preserve"> og flutning</w:t>
      </w:r>
      <w:r>
        <w:t>ur</w:t>
      </w:r>
      <w:r w:rsidR="001C448F" w:rsidRPr="001C448F">
        <w:t xml:space="preserve"> efnis vegna uppspennu og grautunar </w:t>
      </w:r>
      <w:r w:rsidR="001C448F">
        <w:t>kapla,</w:t>
      </w:r>
      <w:r w:rsidR="001C448F" w:rsidRPr="001C448F">
        <w:t xml:space="preserve"> þ.m.t.: Flutningur og uppsetning spenni- og grautunarbúnaðar, kostnaður vegna nauðsynlegra prófana ásamt fyllingu úrtaka við kapalfestingar.</w:t>
      </w:r>
    </w:p>
    <w:p w14:paraId="29E59805" w14:textId="77777777" w:rsidR="006F36E7" w:rsidRPr="00633A30" w:rsidRDefault="006F36E7" w:rsidP="00633A30">
      <w:pPr>
        <w:numPr>
          <w:ilvl w:val="0"/>
          <w:numId w:val="4"/>
        </w:numPr>
        <w:ind w:left="567" w:hanging="578"/>
        <w:rPr>
          <w:b/>
          <w:bCs/>
          <w:iCs/>
          <w:szCs w:val="26"/>
        </w:rPr>
      </w:pPr>
      <w:r w:rsidRPr="00633A30">
        <w:rPr>
          <w:b/>
          <w:bCs/>
          <w:iCs/>
          <w:szCs w:val="26"/>
        </w:rPr>
        <w:t>Efniskröfur</w:t>
      </w:r>
    </w:p>
    <w:p w14:paraId="62C86CCC" w14:textId="77777777" w:rsidR="00F525EA" w:rsidRDefault="00657005" w:rsidP="00F525EA">
      <w:pPr>
        <w:pStyle w:val="Liurtexti"/>
        <w:jc w:val="left"/>
      </w:pPr>
      <w:r w:rsidRPr="009C5115">
        <w:t>Vellingur til grautunar skal uppfylla kröfur um hlutefni, samsetningu og eiginleika í ÍST EN 447</w:t>
      </w:r>
      <w:r w:rsidR="00F525EA" w:rsidRPr="00F525EA">
        <w:t xml:space="preserve"> </w:t>
      </w:r>
      <w:r w:rsidRPr="009C5115">
        <w:t>kafla 6 þegar hann er prófaður skv. ÍST EN 445 kafla 4.</w:t>
      </w:r>
      <w:r w:rsidRPr="009C5115">
        <w:br/>
        <w:t>Kröfur um óæskileg efni:</w:t>
      </w:r>
      <w:r w:rsidRPr="009C5115">
        <w:br/>
        <w:t>Cl-&lt; 0,10% af sementsþunganum.</w:t>
      </w:r>
    </w:p>
    <w:p w14:paraId="7C955636" w14:textId="77777777" w:rsidR="00F525EA" w:rsidRDefault="00657005" w:rsidP="00F525EA">
      <w:pPr>
        <w:pStyle w:val="Liurtexti"/>
        <w:jc w:val="left"/>
      </w:pPr>
      <w:r w:rsidRPr="009C5115">
        <w:t>SO3&lt; 4,5% af sementsþunganum.</w:t>
      </w:r>
    </w:p>
    <w:p w14:paraId="50B5121B" w14:textId="77777777" w:rsidR="00F525EA" w:rsidRDefault="00657005" w:rsidP="00F525EA">
      <w:pPr>
        <w:pStyle w:val="Liurtexti"/>
        <w:jc w:val="left"/>
      </w:pPr>
      <w:r w:rsidRPr="009C5115">
        <w:t>S2-jónir&lt;0,01% af sementsþunganum.</w:t>
      </w:r>
    </w:p>
    <w:p w14:paraId="56A5AF3E" w14:textId="77777777" w:rsidR="00F525EA" w:rsidRDefault="00657005" w:rsidP="00F525EA">
      <w:pPr>
        <w:pStyle w:val="Liurtexti"/>
        <w:jc w:val="left"/>
      </w:pPr>
      <w:r w:rsidRPr="009C5115">
        <w:t>Vellingur skal vera laus við kekki í sigtiprófi.</w:t>
      </w:r>
    </w:p>
    <w:p w14:paraId="263693B0" w14:textId="2D40CA8C" w:rsidR="00657005" w:rsidRPr="009C5115" w:rsidRDefault="00657005" w:rsidP="00F525EA">
      <w:pPr>
        <w:pStyle w:val="Liurtexti"/>
        <w:jc w:val="left"/>
      </w:pPr>
      <w:r w:rsidRPr="009C5115">
        <w:t>Kröfur til flæðis vellings:</w:t>
      </w:r>
    </w:p>
    <w:tbl>
      <w:tblPr>
        <w:tblW w:w="9434" w:type="dxa"/>
        <w:tblInd w:w="5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842"/>
        <w:gridCol w:w="2635"/>
      </w:tblGrid>
      <w:tr w:rsidR="00657005" w:rsidRPr="009C5115" w14:paraId="4F33D208" w14:textId="77777777" w:rsidTr="004E048E">
        <w:trPr>
          <w:trHeight w:val="116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8FB2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>Prófunaraðferð skv.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>EN 445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6174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 xml:space="preserve">Mælt gildi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650C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>Krafa: Strax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>að blöndun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>lokinni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6942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>30 mín. eftir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>blöndun í hrærivél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>eða skv. leið-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>beiningum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 xml:space="preserve">framleiðanda 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sz w:val="14"/>
                <w:szCs w:val="14"/>
                <w:lang w:eastAsia="is-IS"/>
              </w:rPr>
              <w:t>1)</w:t>
            </w:r>
          </w:p>
        </w:tc>
      </w:tr>
      <w:tr w:rsidR="00657005" w:rsidRPr="009C5115" w14:paraId="2C89E174" w14:textId="77777777" w:rsidTr="004E048E">
        <w:trPr>
          <w:trHeight w:val="4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5A92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Flæði um trekt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877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Tími í 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443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t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>0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≤25 s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1FAC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1,2 t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≥t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30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 0,8 t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og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br/>
              <w:t>t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30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≤25 s</w:t>
            </w:r>
          </w:p>
        </w:tc>
      </w:tr>
      <w:tr w:rsidR="00657005" w:rsidRPr="009C5115" w14:paraId="5F61D42F" w14:textId="77777777" w:rsidTr="004E048E">
        <w:trPr>
          <w:trHeight w:val="4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DC0F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Flæði próf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F8C7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a=meðalþvermál flæðis í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br/>
              <w:t>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AF27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a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≥ 140 mm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423C" w14:textId="77777777" w:rsidR="00657005" w:rsidRPr="009C5115" w:rsidRDefault="00657005" w:rsidP="006C036C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1,2 a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≥a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30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 0,8 a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>0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br/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og a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30 </w:t>
            </w: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≥140 mm</w:t>
            </w:r>
          </w:p>
        </w:tc>
      </w:tr>
    </w:tbl>
    <w:p w14:paraId="0B1FDB17" w14:textId="77777777" w:rsidR="00DB3785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Vatnsaðkilnaður skal ekki vera meiri en 0,3% eftir 3 klst. í Wick prófi.</w:t>
      </w:r>
    </w:p>
    <w:p w14:paraId="1DE5A640" w14:textId="77777777" w:rsidR="009D439A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Rúmmálsbreyting skal eftir 24 klst. í Wick prófi vera á bilinu -1% til+5%,</w:t>
      </w:r>
      <w:r w:rsidR="009D439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Styrkur á hörðnuðum vellingi skal ekki vera lægri en 30 MPa eftir 28 daga eða 27 MPa eftir 7</w:t>
      </w:r>
      <w:r w:rsidR="00DB378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daga.</w:t>
      </w:r>
    </w:p>
    <w:p w14:paraId="2E153F83" w14:textId="77777777" w:rsidR="009D439A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Storknun vellings mæld skv. EN 196-3. Vellingurinn skal ekki fara að stirðna fyrr en eftir &gt;3</w:t>
      </w:r>
      <w:r w:rsidR="009D439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tíma. Storknun skal lokið eftir &lt; 24 klst. Hvort tveggja er miðað við hitastig sem framleiðandi</w:t>
      </w:r>
      <w:r w:rsidR="009D439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vellings segir til um eða mælt er fyrir um.</w:t>
      </w:r>
    </w:p>
    <w:p w14:paraId="1BA054B0" w14:textId="77777777" w:rsidR="007A77A4" w:rsidRDefault="00657005" w:rsidP="00DB3785">
      <w:pPr>
        <w:ind w:left="567"/>
        <w:rPr>
          <w:rFonts w:ascii="Calibri" w:eastAsia="Times New Roman" w:hAnsi="Calibri" w:cs="Calibri"/>
          <w:color w:val="46464B"/>
          <w:lang w:eastAsia="is-IS"/>
        </w:rPr>
      </w:pPr>
      <w:r w:rsidRPr="009C5115">
        <w:rPr>
          <w:rFonts w:ascii="Calibri-Bold" w:eastAsia="Times New Roman" w:hAnsi="Calibri-Bold" w:cs="Times New Roman"/>
          <w:b/>
          <w:bCs/>
          <w:color w:val="46464B"/>
          <w:lang w:eastAsia="is-IS"/>
        </w:rPr>
        <w:t xml:space="preserve">V/S hlutfall. </w:t>
      </w:r>
      <w:r w:rsidRPr="009C5115">
        <w:rPr>
          <w:rFonts w:ascii="Calibri" w:eastAsia="Times New Roman" w:hAnsi="Calibri" w:cs="Calibri"/>
          <w:color w:val="46464B"/>
          <w:lang w:eastAsia="is-IS"/>
        </w:rPr>
        <w:t>Hlutfall vatns / sements (v/s-hlutfall) skal vera ≤0,44.</w:t>
      </w:r>
    </w:p>
    <w:p w14:paraId="146B75CB" w14:textId="77777777" w:rsidR="007A77A4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Vellingur getur verið annað hvort blandaður á staðnum eða verksmiðjuframleiddur.</w:t>
      </w:r>
    </w:p>
    <w:p w14:paraId="680150E9" w14:textId="77777777" w:rsidR="007A77A4" w:rsidRDefault="00657005" w:rsidP="00DB3785">
      <w:pPr>
        <w:ind w:left="567"/>
        <w:rPr>
          <w:rFonts w:ascii="Calibri-Bold" w:eastAsia="Times New Roman" w:hAnsi="Calibri-Bold" w:cs="Times New Roman"/>
          <w:b/>
          <w:bCs/>
          <w:color w:val="46464B"/>
          <w:lang w:eastAsia="is-IS"/>
        </w:rPr>
      </w:pPr>
      <w:r w:rsidRPr="009C5115">
        <w:rPr>
          <w:rFonts w:ascii="Calibri-Bold" w:eastAsia="Times New Roman" w:hAnsi="Calibri-Bold" w:cs="Times New Roman"/>
          <w:b/>
          <w:bCs/>
          <w:color w:val="46464B"/>
          <w:lang w:eastAsia="is-IS"/>
        </w:rPr>
        <w:lastRenderedPageBreak/>
        <w:t>Vellingur blandaður á staðnum:</w:t>
      </w:r>
    </w:p>
    <w:p w14:paraId="2DA44B35" w14:textId="77777777" w:rsidR="00A14F17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Blöndunarhlutföll vellings, sem blandaður er á staðnum, ákveðast í samráði við eftirlitið en</w:t>
      </w:r>
      <w:r w:rsidR="00A14F17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eftirfarandi þyngdarhlutföll skulu í höfuðatriðum lögð til grundvallar:</w:t>
      </w:r>
    </w:p>
    <w:p w14:paraId="01CE31B9" w14:textId="77777777" w:rsidR="00A14F17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Sement: 1</w:t>
      </w:r>
    </w:p>
    <w:p w14:paraId="4E67FCE3" w14:textId="77777777" w:rsidR="00A14F17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Vatn: 0,40 ±0,04</w:t>
      </w:r>
    </w:p>
    <w:p w14:paraId="4A59C8AD" w14:textId="77777777" w:rsidR="00A14F17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Íblendi skal vera samkvæmt upplýsingum framleiðanda.</w:t>
      </w:r>
    </w:p>
    <w:p w14:paraId="02716C31" w14:textId="77777777" w:rsidR="009B4EDB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Vellingur á að vera gerður úr sementi, vatni, íaukum og íblendi. Efni sem notuð eru skulu vera</w:t>
      </w:r>
      <w:r w:rsidR="00A14F17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þannig að ofangreindar kröfur verði uppfylltar.</w:t>
      </w:r>
    </w:p>
    <w:p w14:paraId="1BD8E9BE" w14:textId="77777777" w:rsidR="009B4EDB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-BoldMT" w:eastAsia="Times New Roman" w:hAnsi="TimesNewRomanPS-BoldMT" w:cs="Times New Roman"/>
          <w:b/>
          <w:bCs/>
          <w:color w:val="46464B"/>
          <w:lang w:eastAsia="is-IS"/>
        </w:rPr>
        <w:t xml:space="preserve">Sement.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Sement skal vera skv. ÍST EN 197 af gerðinni CEM I (Portland-sement) eða CEM II/AD (Portland-kísilryksblandað sement).</w:t>
      </w:r>
    </w:p>
    <w:p w14:paraId="444C2D59" w14:textId="77777777" w:rsidR="009B4EDB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-BoldMT" w:eastAsia="Times New Roman" w:hAnsi="TimesNewRomanPS-BoldMT" w:cs="Times New Roman"/>
          <w:b/>
          <w:bCs/>
          <w:color w:val="46464B"/>
          <w:lang w:eastAsia="is-IS"/>
        </w:rPr>
        <w:t xml:space="preserve">Blendivatn.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Blendivatn skal vera í samræmi við ÍST EN 1008.</w:t>
      </w:r>
    </w:p>
    <w:p w14:paraId="07674BD2" w14:textId="77777777" w:rsidR="009B4EDB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-BoldMT" w:eastAsia="Times New Roman" w:hAnsi="TimesNewRomanPS-BoldMT" w:cs="Times New Roman"/>
          <w:b/>
          <w:bCs/>
          <w:color w:val="46464B"/>
          <w:lang w:eastAsia="is-IS"/>
        </w:rPr>
        <w:t xml:space="preserve">Íblendi.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Íblendi skulu vera í samræmi við ÍST EN 934-2. Heimilt er að nota eina eða fleiri gerðir</w:t>
      </w:r>
      <w:r w:rsidR="009B4EDB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íblendis saman.</w:t>
      </w:r>
    </w:p>
    <w:p w14:paraId="151A0D89" w14:textId="77777777" w:rsidR="009B4EDB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-BoldMT" w:eastAsia="Times New Roman" w:hAnsi="TimesNewRomanPS-BoldMT" w:cs="Times New Roman"/>
          <w:b/>
          <w:bCs/>
          <w:color w:val="46464B"/>
          <w:lang w:eastAsia="is-IS"/>
        </w:rPr>
        <w:t>Íaukar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. Kísilryk má vera í sementi sem notað er í vellinginn, og skal þá uppfylla kröfur skv. ÍST</w:t>
      </w:r>
      <w:r w:rsidR="009B4EDB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EN 13263. Notkun áldufts er leyfð í takmörkuðu magni.</w:t>
      </w:r>
    </w:p>
    <w:p w14:paraId="18EB8F23" w14:textId="77777777" w:rsidR="009B4EDB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-BoldMT" w:eastAsia="Times New Roman" w:hAnsi="TimesNewRomanPS-BoldMT" w:cs="Times New Roman"/>
          <w:b/>
          <w:bCs/>
          <w:color w:val="46464B"/>
          <w:lang w:eastAsia="is-IS"/>
        </w:rPr>
        <w:t xml:space="preserve">Forprófun: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Ganga skal úr skugga um í tæka tíð, að eiginleikar vellings, sem blandaður er á</w:t>
      </w:r>
      <w:r w:rsidR="009B4EDB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staðnum, séu úr ætluðum efnum til verksins með tækjum sem ætluð er til verksins og unnin með</w:t>
      </w:r>
      <w:r w:rsidR="009B4EDB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væntanlegum mannafla sem hentar fyrir ætlaða notkun uppfylli kröfur til vellings í ÍST EN</w:t>
      </w:r>
      <w:r w:rsidR="009B4EDB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447:2007. Nauðsynleg próf eru skv. töflu í lið d). hér á eftir.</w:t>
      </w:r>
    </w:p>
    <w:p w14:paraId="3FB70F0B" w14:textId="77777777" w:rsidR="009B4EDB" w:rsidRDefault="00657005" w:rsidP="00DB3785">
      <w:pPr>
        <w:ind w:left="567"/>
        <w:rPr>
          <w:rFonts w:ascii="TimesNewRomanPS-BoldMT" w:eastAsia="Times New Roman" w:hAnsi="TimesNewRomanPS-BoldMT" w:cs="Times New Roman"/>
          <w:b/>
          <w:bCs/>
          <w:color w:val="46464B"/>
          <w:lang w:eastAsia="is-IS"/>
        </w:rPr>
      </w:pPr>
      <w:r w:rsidRPr="009C5115">
        <w:rPr>
          <w:rFonts w:ascii="TimesNewRomanPS-BoldMT" w:eastAsia="Times New Roman" w:hAnsi="TimesNewRomanPS-BoldMT" w:cs="Times New Roman"/>
          <w:b/>
          <w:bCs/>
          <w:color w:val="46464B"/>
          <w:lang w:eastAsia="is-IS"/>
        </w:rPr>
        <w:t>Verksmiðjuframleiddur vellingur:</w:t>
      </w:r>
    </w:p>
    <w:p w14:paraId="703A2F92" w14:textId="77777777" w:rsidR="009B4EDB" w:rsidRDefault="00657005" w:rsidP="00DB3785">
      <w:pPr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Verksmiðjuframleiddan velling þarf ekki að forprófa geti framleiðandi sýnt fram á að hann</w:t>
      </w:r>
      <w:r w:rsidR="009B4EDB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uppfylli allar kröfur í stöðlum ÍST EN 445, 446 og 447.</w:t>
      </w:r>
    </w:p>
    <w:p w14:paraId="28948B65" w14:textId="15D0397D" w:rsidR="00F802FE" w:rsidRPr="00F802FE" w:rsidRDefault="00F802FE" w:rsidP="009B4EDB">
      <w:pPr>
        <w:numPr>
          <w:ilvl w:val="0"/>
          <w:numId w:val="4"/>
        </w:numPr>
        <w:ind w:left="567" w:hanging="578"/>
        <w:rPr>
          <w:b/>
          <w:bCs/>
          <w:iCs/>
          <w:szCs w:val="26"/>
        </w:rPr>
      </w:pPr>
      <w:r w:rsidRPr="00B10640">
        <w:rPr>
          <w:b/>
          <w:bCs/>
          <w:iCs/>
          <w:szCs w:val="26"/>
        </w:rPr>
        <w:t>Vinnugæði</w:t>
      </w:r>
    </w:p>
    <w:p w14:paraId="65B458B0" w14:textId="705A1E25" w:rsidR="001C448F" w:rsidRPr="001C448F" w:rsidRDefault="00750555" w:rsidP="002316A3">
      <w:pPr>
        <w:widowControl w:val="0"/>
        <w:tabs>
          <w:tab w:val="clear" w:pos="1134"/>
        </w:tabs>
        <w:spacing w:before="0" w:after="40" w:line="240" w:lineRule="atLeast"/>
        <w:ind w:left="567"/>
        <w:jc w:val="both"/>
        <w:rPr>
          <w:rFonts w:cs="Times New Roman"/>
          <w:sz w:val="22"/>
          <w:lang w:eastAsia="is-IS"/>
        </w:rPr>
      </w:pPr>
      <w:r>
        <w:rPr>
          <w:rFonts w:cs="Times New Roman"/>
          <w:b/>
          <w:sz w:val="22"/>
          <w:lang w:eastAsia="is-IS"/>
        </w:rPr>
        <w:t>Uppspenna</w:t>
      </w:r>
      <w:r w:rsidR="001C448F" w:rsidRPr="001C448F">
        <w:rPr>
          <w:rFonts w:cs="Times New Roman"/>
          <w:b/>
          <w:sz w:val="22"/>
          <w:lang w:eastAsia="is-IS"/>
        </w:rPr>
        <w:t>:</w:t>
      </w:r>
      <w:r w:rsidR="001C448F" w:rsidRPr="001C448F">
        <w:rPr>
          <w:rFonts w:cs="Times New Roman"/>
          <w:sz w:val="22"/>
          <w:lang w:eastAsia="is-IS"/>
        </w:rPr>
        <w:t xml:space="preserve"> </w:t>
      </w:r>
    </w:p>
    <w:p w14:paraId="76B510A3" w14:textId="77777777" w:rsidR="00F77B13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Spennibúnaður skal vera í samræmi við spennilista.</w:t>
      </w:r>
    </w:p>
    <w:p w14:paraId="71C0A49C" w14:textId="77777777" w:rsidR="00890A2A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Uppspennutjakkur skal vera með vikmörk innan 2%, sem skal sannreyna með vottuðum mælum,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minnst einu sinni á hverju ári. Ef grunsemdir vakna um að mælibúnaðurinn hafi fengið óheppilega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meðferð, högg, hristing eða of mikið álag o.fl., skal endurtaka sannprófun þeirra.</w:t>
      </w:r>
    </w:p>
    <w:p w14:paraId="5270AA35" w14:textId="1B90FEA3" w:rsidR="00890A2A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 xml:space="preserve">Uppspennu skal framkvæma í samræmi við spennilista, sem </w:t>
      </w:r>
      <w:r w:rsidR="003D7859">
        <w:rPr>
          <w:rFonts w:ascii="TimesNewRomanPSMT" w:eastAsia="Times New Roman" w:hAnsi="TimesNewRomanPSMT" w:cs="Times New Roman"/>
          <w:color w:val="46464B"/>
          <w:lang w:eastAsia="is-IS"/>
        </w:rPr>
        <w:t>verkkaupi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 xml:space="preserve"> leggur fram. Þar er m.a.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 xml:space="preserve">kveðið á um hvaða tæki skulu notuð, í hvaða röð kaplar eru spenntir, 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="003D7859">
        <w:rPr>
          <w:rFonts w:ascii="TimesNewRomanPSMT" w:eastAsia="Times New Roman" w:hAnsi="TimesNewRomanPSMT" w:cs="Times New Roman"/>
          <w:color w:val="46464B"/>
          <w:lang w:eastAsia="is-IS"/>
        </w:rPr>
        <w:t>u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ppspennukraft, lengingar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víra við uppspennu, mælistöður og mörk aflestra á mælitækjum.</w:t>
      </w:r>
    </w:p>
    <w:p w14:paraId="5E308401" w14:textId="77777777" w:rsidR="00890A2A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Uppspennu skal framkvæma í samræmi við ÍST EN 13670:2009, grein 7.5. Hún skal framkvæmd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undir verkstjórn manns með nauðsynlega þekkingu á notkun viðkomandi tækjabúnaðar og með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reynslu frá a.m.k. þremur sambærilegum verkum, sjá nánar í CWA 14646. Verktaki skal skila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ferilskrá verkstjóra, þar sem vísað er til sambærilegra verka. Ef mannvirkinu er áfangaskipt skal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koma fram í áætluninni, með ótvíræðum hætti, hvaða framleiðslunúmer strengja verður notað á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hverjum stað í mannvirkinu, eins og það er sýnt á teikningum.</w:t>
      </w:r>
    </w:p>
    <w:p w14:paraId="50AF4842" w14:textId="77777777" w:rsidR="00890A2A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lastRenderedPageBreak/>
        <w:t>Uppspenna má byrja þegar steypan hefur náð tilskildum styrk skv. spennilista. Þetta má meta með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útreikningi á steypuþroska eftir hitamælingum í steypunni og/eða styðja niðurstöðuna með því að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brjóta a.m.k. þrjú steypusýni sem geymd eru á verkstað við sömu aðstæður og steypan í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mannvirkinu.</w:t>
      </w:r>
    </w:p>
    <w:p w14:paraId="0C5E4C5D" w14:textId="77777777" w:rsidR="006277E2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Verktaki skal mæla og skrá lengingu strengja og þeirra krafta sem mældir hafa verið á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br/>
        <w:t>uppspennulistana og afhenda verkkaupa til rýni. Ef mældar lengdarbreytingar eru umfram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vikmörk uppspennilistanna, skal endurtaka uppspennuna frá byrjun eftir að slakað hefur verið á</w:t>
      </w:r>
      <w:r w:rsidR="00890A2A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köplunum.</w:t>
      </w:r>
    </w:p>
    <w:p w14:paraId="79E9385F" w14:textId="0324885B" w:rsidR="006277E2" w:rsidRDefault="00F77B13" w:rsidP="00750555">
      <w:pPr>
        <w:spacing w:after="0"/>
        <w:ind w:left="567"/>
        <w:rPr>
          <w:rFonts w:ascii="Calibri-Bold" w:eastAsia="Times New Roman" w:hAnsi="Calibri-Bold" w:cs="Times New Roman"/>
          <w:b/>
          <w:bCs/>
          <w:color w:val="000000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Að uppspennu lokinni og þegar verkkaupi hefur yfirfarið spennilistann, og samþykkt hann</w:t>
      </w:r>
      <w:r w:rsidR="006277E2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skriflega, skal skera enda strengjanna 30-50 mm aftan við lásplötur eða þannig að hægt sé að festa</w:t>
      </w:r>
      <w:r w:rsidR="006277E2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grautunarlok á akkerin. Strengina skal skera með skurðskífum en ekki loga.</w:t>
      </w:r>
    </w:p>
    <w:p w14:paraId="4384EB58" w14:textId="77777777" w:rsidR="006277E2" w:rsidRDefault="00F77B13" w:rsidP="00750555">
      <w:pPr>
        <w:spacing w:after="0"/>
        <w:ind w:left="567"/>
        <w:rPr>
          <w:rFonts w:ascii="Calibri-Bold" w:eastAsia="Times New Roman" w:hAnsi="Calibri-Bold" w:cs="Times New Roman"/>
          <w:b/>
          <w:bCs/>
          <w:color w:val="000000"/>
          <w:lang w:eastAsia="is-IS"/>
        </w:rPr>
      </w:pPr>
      <w:r w:rsidRPr="009C5115">
        <w:rPr>
          <w:rFonts w:ascii="Calibri-Bold" w:eastAsia="Times New Roman" w:hAnsi="Calibri-Bold" w:cs="Times New Roman"/>
          <w:b/>
          <w:bCs/>
          <w:color w:val="000000"/>
          <w:lang w:eastAsia="is-IS"/>
        </w:rPr>
        <w:t>Blöndun á vellingi:</w:t>
      </w:r>
    </w:p>
    <w:p w14:paraId="49560A9A" w14:textId="77777777" w:rsidR="006277E2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Blöndunar- og grautunarbúnaður skal vera í samræmi við ÍST EN 446 kafla 7 og skal henta</w:t>
      </w:r>
      <w:r w:rsidR="006277E2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spennikerfinu. Varadæla og varablöndunarútbúnaður skulu vera til staðar, eins og nauðsynlegt er</w:t>
      </w:r>
      <w:r w:rsidR="006277E2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talið. Búnaður til sýnatöku og prófunar á graut skal vera til staðar.</w:t>
      </w:r>
    </w:p>
    <w:p w14:paraId="21555FEF" w14:textId="77777777" w:rsidR="00EF654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Blöndun skal fara fram í blendi, þannig að hún verði einsleit og stöðug með eiginleika í mjúku</w:t>
      </w:r>
      <w:r w:rsidR="006277E2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(plastísku) formi. Háð efnis- eða umhverfisþáttum (t.d. hitastigi, formi kapallegu og eiginleikum</w:t>
      </w:r>
      <w:r w:rsidR="006277E2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sements) á að halda v/s-tölu eins lágri eins og kostur er m.t.t. aðstæðna.</w:t>
      </w:r>
    </w:p>
    <w:p w14:paraId="53B827C7" w14:textId="77777777" w:rsidR="00EF654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Vatni skal fyrst blandað í blendinn, því næst sementinu og íblendinu. Blanda má öllu því magni</w:t>
      </w:r>
      <w:r w:rsidR="00EF654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sem vegið hefur verið, bæði sementi og íblendi eða í smáskömmtum, þar til allt er komið í hann.</w:t>
      </w:r>
    </w:p>
    <w:p w14:paraId="79A130BC" w14:textId="77777777" w:rsidR="00EF654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Blanda skal velling í magni þannig að örugglega verði til nægilega mikið til að fylla kapalrör, að</w:t>
      </w:r>
      <w:r w:rsidR="00EF654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teknu tilliti til þess sem fer til spillis. Vellingi skal haldið á stöðugri hreyfingu þegar efni hafa</w:t>
      </w:r>
      <w:r w:rsidR="00EF654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verið sett í vélina og þar til hann er tilbúinn til ídælingar í ídráttarrörin.</w:t>
      </w:r>
    </w:p>
    <w:p w14:paraId="2C4FD445" w14:textId="77777777" w:rsidR="00EF6545" w:rsidRDefault="00F77B13" w:rsidP="00750555">
      <w:pPr>
        <w:spacing w:after="0"/>
        <w:ind w:left="567"/>
        <w:rPr>
          <w:rFonts w:ascii="Calibri-Bold" w:eastAsia="Times New Roman" w:hAnsi="Calibri-Bold" w:cs="Times New Roman"/>
          <w:b/>
          <w:bCs/>
          <w:color w:val="000000"/>
          <w:lang w:eastAsia="is-IS"/>
        </w:rPr>
      </w:pPr>
      <w:r w:rsidRPr="009C5115">
        <w:rPr>
          <w:rFonts w:ascii="Calibri-Bold" w:eastAsia="Times New Roman" w:hAnsi="Calibri-Bold" w:cs="Times New Roman"/>
          <w:b/>
          <w:bCs/>
          <w:color w:val="000000"/>
          <w:lang w:eastAsia="is-IS"/>
        </w:rPr>
        <w:t>Grautun:</w:t>
      </w:r>
    </w:p>
    <w:p w14:paraId="49C9AA40" w14:textId="77777777" w:rsidR="00EF654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Ídæling vellings skal fara fram í samræmi við ÍST EN 13670:2009 grein 7.6, kröfum, sem gefnar</w:t>
      </w:r>
      <w:r w:rsidR="00EF654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eru upp í ÍST EN 446 og leiðbeiningar fib, Bulletin 20, Grouting of tendons in prestressed</w:t>
      </w:r>
      <w:r w:rsidR="00EF654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concrete.</w:t>
      </w:r>
    </w:p>
    <w:p w14:paraId="34A4BEA0" w14:textId="77777777" w:rsidR="00983E8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Blöndun og Ídælingu skal framkvæma undir verkstjórn manns með nauðsynlega þekkingu á</w:t>
      </w:r>
      <w:r w:rsidR="00EF654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framleiðslu vellings, af nauðsynlegum prófunum og vali tækja fyrir verkefnið og með reynslu frá</w:t>
      </w:r>
      <w:r w:rsidR="00EF654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a.m.k. þremur sambærilegum verkum. Verktaki skal skila ferilskrá verkstjóra, þar sem vísað er til</w:t>
      </w:r>
      <w:r w:rsidR="00983E8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sambærilegra verka.</w:t>
      </w:r>
    </w:p>
    <w:p w14:paraId="2613EEE0" w14:textId="77777777" w:rsidR="00983E8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Ídælingu má ekki byrja fyrr en verkkaupi hefur samþykkt uppspennu kaplanna.</w:t>
      </w:r>
    </w:p>
    <w:p w14:paraId="33FE98E6" w14:textId="77777777" w:rsidR="00983E8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Tímanlega fyrir ídælingu skal verktakinn vinna áætlun, þar sem grein er gerð fyrir eftirfarandi</w:t>
      </w:r>
      <w:r w:rsidR="00983E8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þáttum og afhenda verkkaupa til rýni:</w:t>
      </w:r>
    </w:p>
    <w:p w14:paraId="08DBAA5F" w14:textId="77777777" w:rsidR="00983E8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SymbolMT" w:eastAsia="Times New Roman" w:hAnsi="SymbolMT" w:cs="Times New Roman"/>
          <w:color w:val="46464B"/>
          <w:lang w:eastAsia="is-IS"/>
        </w:rPr>
        <w:t xml:space="preserve">•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framkvæmd ídælingar.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br/>
      </w:r>
      <w:r w:rsidRPr="009C5115">
        <w:rPr>
          <w:rFonts w:ascii="SymbolMT" w:eastAsia="Times New Roman" w:hAnsi="SymbolMT" w:cs="Times New Roman"/>
          <w:color w:val="46464B"/>
          <w:lang w:eastAsia="is-IS"/>
        </w:rPr>
        <w:t xml:space="preserve">•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skiptingu í áfanga til úttektar.</w:t>
      </w:r>
    </w:p>
    <w:p w14:paraId="32178D7B" w14:textId="77777777" w:rsidR="00983E8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SymbolMT" w:eastAsia="Times New Roman" w:hAnsi="SymbolMT" w:cs="Times New Roman"/>
          <w:color w:val="46464B"/>
          <w:lang w:eastAsia="is-IS"/>
        </w:rPr>
        <w:t xml:space="preserve">•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magn vellings í hvert kapalrör.</w:t>
      </w:r>
    </w:p>
    <w:p w14:paraId="68EEC314" w14:textId="77777777" w:rsidR="00983E85" w:rsidRDefault="00F77B13" w:rsidP="003D7859">
      <w:pPr>
        <w:spacing w:after="0"/>
        <w:ind w:left="709" w:hanging="142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SymbolMT" w:eastAsia="Times New Roman" w:hAnsi="SymbolMT" w:cs="Times New Roman"/>
          <w:color w:val="46464B"/>
          <w:lang w:eastAsia="is-IS"/>
        </w:rPr>
        <w:t xml:space="preserve">•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ráðstafanir til að tryggja að kapalrör fyllist með vellingi, e.t.v. með eftirdælingu í tengibox</w:t>
      </w:r>
      <w:r w:rsidR="00983E85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og akkeri.</w:t>
      </w:r>
    </w:p>
    <w:p w14:paraId="49D6810F" w14:textId="77777777" w:rsidR="00983E8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SymbolMT" w:eastAsia="Times New Roman" w:hAnsi="SymbolMT" w:cs="Times New Roman"/>
          <w:color w:val="46464B"/>
          <w:lang w:eastAsia="is-IS"/>
        </w:rPr>
        <w:lastRenderedPageBreak/>
        <w:t xml:space="preserve">•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möguleika á spúlun og hreinsun kapalröra, ef óvænt atvik verða við ídælinguna.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br/>
      </w:r>
      <w:r w:rsidRPr="009C5115">
        <w:rPr>
          <w:rFonts w:ascii="SymbolMT" w:eastAsia="Times New Roman" w:hAnsi="SymbolMT" w:cs="Times New Roman"/>
          <w:color w:val="46464B"/>
          <w:lang w:eastAsia="is-IS"/>
        </w:rPr>
        <w:t xml:space="preserve">•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útbúnað sem nota skal.</w:t>
      </w:r>
    </w:p>
    <w:p w14:paraId="148B31DC" w14:textId="77777777" w:rsidR="00983E85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SymbolMT" w:eastAsia="Times New Roman" w:hAnsi="SymbolMT" w:cs="Times New Roman"/>
          <w:color w:val="46464B"/>
          <w:lang w:eastAsia="is-IS"/>
        </w:rPr>
        <w:t xml:space="preserve">• </w:t>
      </w: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varaútbúnað sem skal vera til taks við ídælinguna.</w:t>
      </w:r>
    </w:p>
    <w:p w14:paraId="4ECA540B" w14:textId="6F023F58" w:rsidR="00F77B13" w:rsidRDefault="00F77B13" w:rsidP="00750555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TimesNewRomanPSMT" w:eastAsia="Times New Roman" w:hAnsi="TimesNewRomanPSMT" w:cs="Times New Roman"/>
          <w:color w:val="46464B"/>
          <w:lang w:eastAsia="is-IS"/>
        </w:rPr>
        <w:t>Hitastig við ídælingu skal vera í samræmi við ÍST EN 446:2007, grein 8.3.</w:t>
      </w:r>
    </w:p>
    <w:p w14:paraId="444506CF" w14:textId="77777777" w:rsidR="00865E8F" w:rsidRDefault="00865E8F" w:rsidP="00527E1D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</w:p>
    <w:tbl>
      <w:tblPr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8"/>
        <w:gridCol w:w="3000"/>
        <w:gridCol w:w="3000"/>
      </w:tblGrid>
      <w:tr w:rsidR="00F77B13" w:rsidRPr="009C5115" w14:paraId="65502755" w14:textId="77777777" w:rsidTr="00865E8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12D2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000000"/>
                <w:lang w:eastAsia="is-IS"/>
              </w:rPr>
              <w:t xml:space="preserve">Hitastig °C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E08E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000000"/>
                <w:lang w:eastAsia="is-IS"/>
              </w:rPr>
              <w:t xml:space="preserve">Byggingarhluti °C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4807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000000"/>
                <w:lang w:eastAsia="is-IS"/>
              </w:rPr>
              <w:t>Tímalengd kröfu</w:t>
            </w:r>
          </w:p>
        </w:tc>
      </w:tr>
      <w:tr w:rsidR="00F77B13" w:rsidRPr="009C5115" w14:paraId="518D8F9B" w14:textId="77777777" w:rsidTr="00865E8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D7AC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000000"/>
                <w:lang w:eastAsia="is-IS"/>
              </w:rPr>
              <w:t xml:space="preserve">Minnst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BBA0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000000"/>
                <w:lang w:eastAsia="is-IS"/>
              </w:rPr>
              <w:t xml:space="preserve">3°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B050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000000"/>
                <w:lang w:eastAsia="is-IS"/>
              </w:rPr>
              <w:t xml:space="preserve">48 klst. </w:t>
            </w:r>
            <w:r w:rsidRPr="009C511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is-IS"/>
              </w:rPr>
              <w:t>1)</w:t>
            </w:r>
          </w:p>
        </w:tc>
      </w:tr>
      <w:tr w:rsidR="00F77B13" w:rsidRPr="009C5115" w14:paraId="04E30D3F" w14:textId="77777777" w:rsidTr="00865E8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FD09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000000"/>
                <w:lang w:eastAsia="is-IS"/>
              </w:rPr>
              <w:t xml:space="preserve">Mest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0B67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000000"/>
                <w:lang w:eastAsia="is-IS"/>
              </w:rPr>
              <w:t>35 °</w:t>
            </w:r>
          </w:p>
        </w:tc>
        <w:tc>
          <w:tcPr>
            <w:tcW w:w="0" w:type="auto"/>
            <w:vAlign w:val="center"/>
            <w:hideMark/>
          </w:tcPr>
          <w:p w14:paraId="75742CAE" w14:textId="77777777" w:rsidR="00F77B13" w:rsidRPr="009C5115" w:rsidRDefault="00F77B13" w:rsidP="00344E56">
            <w:pPr>
              <w:spacing w:after="0"/>
              <w:rPr>
                <w:rFonts w:eastAsia="Times New Roman" w:cs="Times New Roman"/>
                <w:sz w:val="20"/>
                <w:szCs w:val="20"/>
                <w:lang w:eastAsia="is-IS"/>
              </w:rPr>
            </w:pPr>
          </w:p>
        </w:tc>
      </w:tr>
    </w:tbl>
    <w:p w14:paraId="3824072C" w14:textId="11979960" w:rsidR="00765A22" w:rsidRDefault="00F77B13" w:rsidP="00EB525C">
      <w:pPr>
        <w:pStyle w:val="Li-fyrirsagnir"/>
        <w:numPr>
          <w:ilvl w:val="0"/>
          <w:numId w:val="16"/>
        </w:numPr>
        <w:tabs>
          <w:tab w:val="clear" w:pos="1134"/>
          <w:tab w:val="left" w:pos="142"/>
        </w:tabs>
        <w:rPr>
          <w:rFonts w:ascii="TimesNewRomanPSMT" w:hAnsi="TimesNewRomanPSMT"/>
          <w:b w:val="0"/>
          <w:bCs w:val="0"/>
          <w:color w:val="46464B"/>
          <w:lang w:eastAsia="is-IS"/>
        </w:rPr>
      </w:pPr>
      <w:r w:rsidRPr="009C5115">
        <w:rPr>
          <w:rFonts w:ascii="TimesNewRomanPSMT" w:hAnsi="TimesNewRomanPSMT"/>
          <w:b w:val="0"/>
          <w:bCs w:val="0"/>
          <w:color w:val="46464B"/>
          <w:lang w:eastAsia="is-IS"/>
        </w:rPr>
        <w:t>Ídælingu má ekki framkvæma ef hitastig byggingarhluta er 3°C eða lægra eða ef hitastig</w:t>
      </w:r>
      <w:r w:rsidR="007155A7" w:rsidRPr="001C308B">
        <w:rPr>
          <w:rFonts w:ascii="TimesNewRomanPSMT" w:hAnsi="TimesNewRomanPSMT"/>
          <w:b w:val="0"/>
          <w:bCs w:val="0"/>
          <w:color w:val="46464B"/>
          <w:lang w:eastAsia="is-IS"/>
        </w:rPr>
        <w:t xml:space="preserve"> </w:t>
      </w:r>
      <w:r w:rsidRPr="009C5115">
        <w:rPr>
          <w:rFonts w:ascii="TimesNewRomanPSMT" w:hAnsi="TimesNewRomanPSMT"/>
          <w:b w:val="0"/>
          <w:bCs w:val="0"/>
          <w:color w:val="46464B"/>
          <w:lang w:eastAsia="is-IS"/>
        </w:rPr>
        <w:t>hans er líklegt til að fara niður fyrir 3°C á næstu 48 klst. Framleiðandi gerir e.t.v. stífari</w:t>
      </w:r>
      <w:r w:rsidR="007155A7" w:rsidRPr="001C308B">
        <w:rPr>
          <w:rFonts w:ascii="TimesNewRomanPSMT" w:hAnsi="TimesNewRomanPSMT"/>
          <w:b w:val="0"/>
          <w:bCs w:val="0"/>
          <w:color w:val="46464B"/>
          <w:lang w:eastAsia="is-IS"/>
        </w:rPr>
        <w:t xml:space="preserve"> </w:t>
      </w:r>
      <w:r w:rsidRPr="009C5115">
        <w:rPr>
          <w:rFonts w:ascii="TimesNewRomanPSMT" w:hAnsi="TimesNewRomanPSMT"/>
          <w:b w:val="0"/>
          <w:bCs w:val="0"/>
          <w:color w:val="46464B"/>
          <w:lang w:eastAsia="is-IS"/>
        </w:rPr>
        <w:t>kröfu en 3°C og þá tekur sú krafa yfir. Ef byggingarhlutinn er hitaður upp skal hita hann</w:t>
      </w:r>
      <w:r w:rsidR="007155A7" w:rsidRPr="001C308B">
        <w:rPr>
          <w:rFonts w:ascii="TimesNewRomanPSMT" w:hAnsi="TimesNewRomanPSMT"/>
          <w:b w:val="0"/>
          <w:bCs w:val="0"/>
          <w:color w:val="46464B"/>
          <w:lang w:eastAsia="is-IS"/>
        </w:rPr>
        <w:t xml:space="preserve"> </w:t>
      </w:r>
      <w:r w:rsidRPr="009C5115">
        <w:rPr>
          <w:rFonts w:ascii="TimesNewRomanPSMT" w:hAnsi="TimesNewRomanPSMT"/>
          <w:b w:val="0"/>
          <w:bCs w:val="0"/>
          <w:color w:val="46464B"/>
          <w:lang w:eastAsia="is-IS"/>
        </w:rPr>
        <w:t>upp í 5°C og hærra, ef framleiðandi vellings gerir kröfu um hærra hitastig en 3°C.</w:t>
      </w:r>
    </w:p>
    <w:p w14:paraId="35ADDB26" w14:textId="495ED03D" w:rsidR="003B5A4F" w:rsidRDefault="0030363B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Á</w:t>
      </w:r>
      <w:r w:rsidR="00F77B13" w:rsidRPr="00173FEF">
        <w:rPr>
          <w:rFonts w:ascii="TimesNewRomanPSMT" w:eastAsia="Times New Roman" w:hAnsi="TimesNewRomanPSMT" w:cs="Times New Roman"/>
          <w:color w:val="46464B"/>
          <w:lang w:eastAsia="is-IS"/>
        </w:rPr>
        <w:t>ður en vellingi er dælt í kapalrörin skal gengið úr skugga um að unnt sé að dæla í þau með því</w:t>
      </w:r>
      <w:r w:rsidR="00527E1D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="00F77B13" w:rsidRPr="00173FEF">
        <w:rPr>
          <w:rFonts w:ascii="TimesNewRomanPSMT" w:eastAsia="Times New Roman" w:hAnsi="TimesNewRomanPSMT" w:cs="Times New Roman"/>
          <w:color w:val="46464B"/>
          <w:lang w:eastAsia="is-IS"/>
        </w:rPr>
        <w:t>að dæla fyrst í gegnum þau þrýstilofti. Það skal vera laust við olíu. Við útloftunarrör og</w:t>
      </w:r>
      <w:r w:rsidR="00527E1D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="00F77B13" w:rsidRPr="00173FEF">
        <w:rPr>
          <w:rFonts w:ascii="TimesNewRomanPSMT" w:eastAsia="Times New Roman" w:hAnsi="TimesNewRomanPSMT" w:cs="Times New Roman"/>
          <w:color w:val="46464B"/>
          <w:lang w:eastAsia="is-IS"/>
        </w:rPr>
        <w:t>kapalfestingar, þar sem ekki er dælt inn um, skal koma fyrir gúmmíi- eða plastslöngu, sem</w:t>
      </w:r>
      <w:r w:rsidR="00527E1D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="00F77B13" w:rsidRPr="00173FEF">
        <w:rPr>
          <w:rFonts w:ascii="TimesNewRomanPSMT" w:eastAsia="Times New Roman" w:hAnsi="TimesNewRomanPSMT" w:cs="Times New Roman"/>
          <w:color w:val="46464B"/>
          <w:lang w:eastAsia="is-IS"/>
        </w:rPr>
        <w:t>framlengir útloftun a.m.k. 0,75 m upp fyrir steypuyfirborð.</w:t>
      </w:r>
    </w:p>
    <w:p w14:paraId="66A4CC22" w14:textId="77777777" w:rsidR="009C7FA1" w:rsidRPr="00173FEF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Sementsvellingi er dælt í kapalrör, en áður en ídælingin hefst skal gengið þannig frá kapalendum</w:t>
      </w:r>
      <w:r w:rsidR="00527E1D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að tryggt sé að þeir séu nægjanlega þéttir, svo sementsvellingurinn tapist ekki út, meðfram</w:t>
      </w:r>
      <w:r w:rsidR="00527E1D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lásplötum og láskeilum. Nota skal sérsmíðuð lok sem hylja lásplötu og vírenda en þannig útbúin</w:t>
      </w:r>
      <w:r w:rsidR="00527E1D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að hægt sé að hleypa lofti út. Þegar dæling hefst í rörin skal þess gætt að halda sem jöfnustum</w:t>
      </w:r>
      <w:r w:rsidR="003B5A4F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hraða, eða u.þ.b. 6 til 12 m/mín og skal dælingunni haldið áfram uns jafnt rennsli án loftbólna</w:t>
      </w:r>
      <w:r w:rsidR="009C7FA1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kemur út um útloftunarslöngur. Eftir að dæling hefst í ídráttarrör má ekki stöðva hana.</w:t>
      </w:r>
    </w:p>
    <w:p w14:paraId="418599CA" w14:textId="77777777" w:rsidR="00E45504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Sem viðmiðun er það yfirleitt nægjanlegt að tappa af útloftunarslöngum, u.þ.b. 5 - 10 l.</w:t>
      </w:r>
    </w:p>
    <w:p w14:paraId="152F5339" w14:textId="77777777" w:rsidR="006E2EFB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Eftir að öllum útloftunarstöðum hefur verið lokað, skal halda a.m.k. 0,5 MPa þrýstingi á kapalrör,</w:t>
      </w:r>
      <w:r w:rsidR="009C7FA1"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í eina mín, en þá skal opna útloftunarstúta, einn í einu til þess að hleypa út loftbólum. Milli þess</w:t>
      </w:r>
      <w:r w:rsidR="006F6D74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sem hleypt er út skal þrýstingur aukinn aftur upp í a.m.k. 0,5 MPa.</w:t>
      </w:r>
    </w:p>
    <w:p w14:paraId="614AC163" w14:textId="00854EDE" w:rsidR="006F6D74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br/>
        <w:t>Ef á þarf að halda skal gera viðeigandi ráðstafanir til að tryggja að tengibox og akkeri fyllist, m.a.</w:t>
      </w:r>
      <w:r w:rsidR="006F6D74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með eftirídælingu þeirra á réttum tíma áður en ídæliefni binst. Þar að auki skal vera mögulegt að</w:t>
      </w:r>
      <w:r w:rsidR="006F6D74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yfirfara og endurídæla í tengingar (koblinger), t.d. í gegnum innsteypt rör, sem liggja að efsta</w:t>
      </w:r>
      <w:r w:rsidR="006F6D74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hluta tengimúffanna.</w:t>
      </w:r>
    </w:p>
    <w:p w14:paraId="3DA50568" w14:textId="77777777" w:rsidR="00292A98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Strax að lokinni notkun skal dæla vellingi í þessi rör.</w:t>
      </w:r>
    </w:p>
    <w:p w14:paraId="29C962F0" w14:textId="7ECD32FB" w:rsidR="00942E3C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6F6D74">
        <w:rPr>
          <w:rFonts w:ascii="TimesNewRomanPSMT" w:eastAsia="Times New Roman" w:hAnsi="TimesNewRomanPSMT" w:cs="Times New Roman"/>
          <w:b/>
          <w:bCs/>
          <w:color w:val="46464B"/>
          <w:lang w:eastAsia="is-IS"/>
        </w:rPr>
        <w:t>Yfirsteypa kapalfestinga.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Yfirborð steypu við kapalfestingar, sem steypt verður að, skal vera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gróft. Ekki má steypa yfir kapalfestingar fyrr en verkkaupi hefur samþykkt ídælingarvinnuna og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búið er að loka með tappa og innsigla yfir alla stúta og akkeri. Áhersla er lögð á að tenging nýrrar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og gamallar steypu verði góð, þannig að steypuskilin verði jafnþétt og steypan umhverfis.</w:t>
      </w:r>
    </w:p>
    <w:p w14:paraId="323F8F65" w14:textId="77777777" w:rsidR="00322B84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Grautunarskýrsla: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br/>
        <w:t>Verktaki skal skila dagbók á formi sem verkkaupi samþykkir. Í dagbók skal skjalfesta og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staðfesta, með undirritun, alla ídælingarvinnu. Skjalfestingin skal innihalda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lastRenderedPageBreak/>
        <w:t>upplýsingar sem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krafist er í ÍST EN 446 kafla 9, þar á meðal um notað efni, útbúnað, tímasetningar, veðurfarslegar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upplýsingar, svo sem meðalhitastig á mannvirki og vellingi, notað magn og upplýsingar um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niðurstöðu þeirra prófana sem hafa verið framkvæmdar, flæðimæling, þanpróf, vatnsupptökupróf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og rúmmálsbreyting ásamt styrkleikaprófi. Dagbókin á ennfremur að innihalda upplýsingar um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hvar </w:t>
      </w:r>
      <w:r w:rsidR="00942E3C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ídælingarstútar, inntök, útrásir eru staðsett í ídælingaráætluninni, ásamt frávikum frá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br/>
        <w:t>lokunarröð og öðrum atriðum, þar á meðal athugasemdir um stopp, leka o.m.fl.</w:t>
      </w:r>
    </w:p>
    <w:p w14:paraId="4FCC3B04" w14:textId="57B46672" w:rsidR="00322B84" w:rsidRDefault="00F77B13" w:rsidP="00173FEF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322B84">
        <w:rPr>
          <w:rFonts w:ascii="TimesNewRomanPSMT" w:eastAsia="Times New Roman" w:hAnsi="TimesNewRomanPSMT" w:cs="Times New Roman"/>
          <w:b/>
          <w:bCs/>
          <w:color w:val="46464B"/>
          <w:lang w:eastAsia="is-IS"/>
        </w:rPr>
        <w:t>Í lok dælingar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 þegar vellingurinn hefur harðnað og dregið til sín aðskilnaðarvatnið skal fjarlægja</w:t>
      </w:r>
      <w:r w:rsidR="00503938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ídælingarstúta og yfirfara hvort stútarnir eru fullir. Komi í ljós að svo sé ekki skal setja í gang</w:t>
      </w:r>
      <w:r w:rsidR="00503938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nákvæmari úttekt á orsök þess og raunverulegum aðstæðum. Skrásetningu á þessu skal leggja</w:t>
      </w:r>
      <w:r w:rsidR="00503938">
        <w:rPr>
          <w:rFonts w:ascii="TimesNewRomanPSMT" w:eastAsia="Times New Roman" w:hAnsi="TimesNewRomanPSMT" w:cs="Times New Roman"/>
          <w:color w:val="46464B"/>
          <w:lang w:eastAsia="is-IS"/>
        </w:rPr>
        <w:t xml:space="preserve"> 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 xml:space="preserve">fyrir verkkaupa til rýni ásamt hugsanlegri </w:t>
      </w:r>
      <w:r w:rsidR="00E650FA">
        <w:rPr>
          <w:rFonts w:ascii="TimesNewRomanPSMT" w:eastAsia="Times New Roman" w:hAnsi="TimesNewRomanPSMT" w:cs="Times New Roman"/>
          <w:color w:val="46464B"/>
          <w:lang w:eastAsia="is-IS"/>
        </w:rPr>
        <w:t>u</w:t>
      </w: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t>mbótaáætlun, sem verkkaupi skal yfirfara.</w:t>
      </w:r>
    </w:p>
    <w:p w14:paraId="0B565DA5" w14:textId="26269086" w:rsidR="00A66DDF" w:rsidRPr="00322B84" w:rsidRDefault="00F77B13" w:rsidP="00322B84">
      <w:pPr>
        <w:tabs>
          <w:tab w:val="clear" w:pos="1134"/>
          <w:tab w:val="left" w:pos="567"/>
        </w:tabs>
        <w:ind w:left="0" w:firstLine="567"/>
        <w:rPr>
          <w:b/>
          <w:bCs/>
          <w:iCs/>
          <w:szCs w:val="26"/>
        </w:rPr>
      </w:pPr>
      <w:r w:rsidRPr="00173FEF">
        <w:rPr>
          <w:rFonts w:ascii="TimesNewRomanPSMT" w:eastAsia="Times New Roman" w:hAnsi="TimesNewRomanPSMT" w:cs="Times New Roman"/>
          <w:color w:val="46464B"/>
          <w:lang w:eastAsia="is-IS"/>
        </w:rPr>
        <w:br/>
      </w:r>
      <w:r w:rsidR="00A66DDF" w:rsidRPr="00322B84">
        <w:rPr>
          <w:b/>
          <w:bCs/>
          <w:iCs/>
          <w:szCs w:val="26"/>
        </w:rPr>
        <w:t>d)</w:t>
      </w:r>
      <w:r w:rsidR="00322B84">
        <w:rPr>
          <w:b/>
          <w:bCs/>
          <w:iCs/>
          <w:szCs w:val="26"/>
        </w:rPr>
        <w:tab/>
      </w:r>
      <w:r w:rsidR="00A66DDF" w:rsidRPr="00322B84">
        <w:rPr>
          <w:b/>
          <w:bCs/>
          <w:iCs/>
          <w:szCs w:val="26"/>
        </w:rPr>
        <w:t xml:space="preserve"> </w:t>
      </w:r>
      <w:r w:rsidR="008C4F11" w:rsidRPr="00322B84">
        <w:rPr>
          <w:b/>
          <w:bCs/>
          <w:iCs/>
          <w:szCs w:val="26"/>
        </w:rPr>
        <w:t>Prófanir</w:t>
      </w:r>
    </w:p>
    <w:p w14:paraId="124F4F64" w14:textId="77777777" w:rsidR="00E650FA" w:rsidRDefault="00503938" w:rsidP="00E650FA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E650FA">
        <w:rPr>
          <w:rFonts w:ascii="TimesNewRomanPSMT" w:eastAsia="Times New Roman" w:hAnsi="TimesNewRomanPSMT" w:cs="Times New Roman"/>
          <w:color w:val="46464B"/>
          <w:lang w:eastAsia="is-IS"/>
        </w:rPr>
        <w:t xml:space="preserve">Forprófanir skal gera á vellingi sem blandaður er á staðnum. Fjöldi prófa er sýnt í eftirfarandi töflu. Ekki eru gerðar kröfur um að niðurstöður mælinga á styrk og rúmþyngd liggi fyrir þegar grautað er. </w:t>
      </w:r>
    </w:p>
    <w:p w14:paraId="193AB011" w14:textId="77777777" w:rsidR="006E2EFB" w:rsidRDefault="00503938" w:rsidP="00E650FA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E650FA">
        <w:rPr>
          <w:rFonts w:ascii="TimesNewRomanPSMT" w:eastAsia="Times New Roman" w:hAnsi="TimesNewRomanPSMT" w:cs="Times New Roman"/>
          <w:color w:val="46464B"/>
          <w:lang w:eastAsia="is-IS"/>
        </w:rPr>
        <w:t>Leggja skal niðurstöðu forprófana fyrir verkkaupa til samþykktar. Verktaki getur fyrst farið að huga að því að steypa upp mannvirkið þegar samþykki verkkaupa liggur fyrir.</w:t>
      </w:r>
    </w:p>
    <w:p w14:paraId="34A6CA7B" w14:textId="3028DEFD" w:rsidR="00C16D2F" w:rsidRDefault="00503938" w:rsidP="00E650FA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E650FA">
        <w:rPr>
          <w:rFonts w:ascii="TimesNewRomanPSMT" w:eastAsia="Times New Roman" w:hAnsi="TimesNewRomanPSMT" w:cs="Times New Roman"/>
          <w:color w:val="46464B"/>
          <w:lang w:eastAsia="is-IS"/>
        </w:rPr>
        <w:t xml:space="preserve">Eftirfarandi rannsóknir á vellingi skal gera á meðan á grautun stendur í samræmi við ÍST EN 446 kafla 9. Miðað er við eftirlitsflokk 3 (Inspection Class 3). </w:t>
      </w:r>
    </w:p>
    <w:p w14:paraId="46ACD1BC" w14:textId="20718DE4" w:rsidR="00C16D2F" w:rsidRDefault="00503938" w:rsidP="00E650FA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E650FA">
        <w:rPr>
          <w:rFonts w:ascii="TimesNewRomanPSMT" w:eastAsia="Times New Roman" w:hAnsi="TimesNewRomanPSMT" w:cs="Times New Roman"/>
          <w:color w:val="46464B"/>
          <w:lang w:eastAsia="is-IS"/>
        </w:rPr>
        <w:t xml:space="preserve">Tíðni prófana á vellingi: </w:t>
      </w:r>
    </w:p>
    <w:p w14:paraId="3F5D150E" w14:textId="77777777" w:rsidR="009D1A93" w:rsidRDefault="009D1A93" w:rsidP="00E650FA">
      <w:pPr>
        <w:spacing w:after="0"/>
        <w:ind w:left="567"/>
        <w:rPr>
          <w:rFonts w:ascii="TimesNewRomanPSMT" w:eastAsia="Times New Roman" w:hAnsi="TimesNewRomanPSMT" w:cs="Times New Roman"/>
          <w:color w:val="46464B"/>
          <w:lang w:eastAsia="is-IS"/>
        </w:rPr>
      </w:pPr>
    </w:p>
    <w:tbl>
      <w:tblPr>
        <w:tblW w:w="7160" w:type="dxa"/>
        <w:tblInd w:w="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1290"/>
        <w:gridCol w:w="2463"/>
        <w:gridCol w:w="1300"/>
      </w:tblGrid>
      <w:tr w:rsidR="001B3FE5" w:rsidRPr="009C5115" w14:paraId="06F55FC1" w14:textId="77777777" w:rsidTr="00443734">
        <w:trPr>
          <w:trHeight w:val="58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38AF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 xml:space="preserve">Próf: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57DB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 xml:space="preserve">Forprófun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54EF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 xml:space="preserve">Tíðni prófa við grautun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FA4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t>Grein í ÍST</w:t>
            </w:r>
            <w:r w:rsidRPr="009C5115">
              <w:rPr>
                <w:rFonts w:ascii="Calibri-Bold" w:eastAsia="Times New Roman" w:hAnsi="Calibri-Bold" w:cs="Times New Roman"/>
                <w:b/>
                <w:bCs/>
                <w:color w:val="46464B"/>
                <w:lang w:eastAsia="is-IS"/>
              </w:rPr>
              <w:br/>
              <w:t>EN 445</w:t>
            </w:r>
          </w:p>
        </w:tc>
      </w:tr>
      <w:tr w:rsidR="001B3FE5" w:rsidRPr="009C5115" w14:paraId="78C48FFA" w14:textId="77777777" w:rsidTr="00443734">
        <w:trPr>
          <w:trHeight w:val="33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12EF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Sigtipróf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30F" w14:textId="76A3BEFE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F970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≥ 1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E464" w14:textId="77777777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4.2</w:t>
            </w:r>
          </w:p>
        </w:tc>
      </w:tr>
      <w:tr w:rsidR="001B3FE5" w:rsidRPr="009C5115" w14:paraId="584AEFBB" w14:textId="77777777" w:rsidTr="00443734">
        <w:trPr>
          <w:trHeight w:val="33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6275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Flæðipróf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E711" w14:textId="02E31D39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325F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≥ 1 próf/dag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2D05" w14:textId="77777777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4.3</w:t>
            </w:r>
          </w:p>
        </w:tc>
      </w:tr>
      <w:tr w:rsidR="001B3FE5" w:rsidRPr="009C5115" w14:paraId="338DC930" w14:textId="77777777" w:rsidTr="00443734">
        <w:trPr>
          <w:trHeight w:val="33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CDBF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Vatnsaðskilnaðarpróf 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1)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F90C" w14:textId="5DE4CC6D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00F8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1 próf/hálfum degi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3277" w14:textId="77777777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4.5</w:t>
            </w:r>
          </w:p>
        </w:tc>
      </w:tr>
      <w:tr w:rsidR="001B3FE5" w:rsidRPr="009C5115" w14:paraId="6AA3BA80" w14:textId="77777777" w:rsidTr="00443734">
        <w:trPr>
          <w:trHeight w:val="35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F4A0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Rúmmálsbreyting </w:t>
            </w:r>
            <w:r w:rsidRPr="009C5115">
              <w:rPr>
                <w:rFonts w:ascii="Calibri" w:eastAsia="Times New Roman" w:hAnsi="Calibri" w:cs="Calibri"/>
                <w:color w:val="46464B"/>
                <w:sz w:val="14"/>
                <w:szCs w:val="14"/>
                <w:lang w:eastAsia="is-IS"/>
              </w:rPr>
              <w:t xml:space="preserve">1)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9531" w14:textId="2D835EB2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≥ 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1DF7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1 próf/hálfum degi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6A2B" w14:textId="77777777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4.5</w:t>
            </w:r>
          </w:p>
        </w:tc>
      </w:tr>
      <w:tr w:rsidR="001B3FE5" w:rsidRPr="009C5115" w14:paraId="7107B3EB" w14:textId="77777777" w:rsidTr="00443734">
        <w:trPr>
          <w:trHeight w:val="33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A43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Styrkur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5630" w14:textId="23D4AF21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(≥ 1)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2B9C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3 próf /dag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ADAF" w14:textId="77777777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4.6</w:t>
            </w:r>
          </w:p>
        </w:tc>
      </w:tr>
      <w:tr w:rsidR="001B3FE5" w:rsidRPr="009C5115" w14:paraId="5448792B" w14:textId="77777777" w:rsidTr="00443734">
        <w:trPr>
          <w:trHeight w:val="33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28AF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Rúmþyngd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A8E7" w14:textId="314F3E03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(≥ 1)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BE8" w14:textId="77777777" w:rsidR="001B3FE5" w:rsidRPr="009C5115" w:rsidRDefault="001B3FE5" w:rsidP="001B3FE5">
            <w:pPr>
              <w:spacing w:after="0"/>
              <w:ind w:left="0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 xml:space="preserve">1 próf/hálfum degi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496C" w14:textId="77777777" w:rsidR="001B3FE5" w:rsidRPr="009C5115" w:rsidRDefault="001B3FE5" w:rsidP="00443734">
            <w:pPr>
              <w:spacing w:after="0"/>
              <w:ind w:left="0"/>
              <w:jc w:val="center"/>
              <w:rPr>
                <w:rFonts w:eastAsia="Times New Roman" w:cs="Times New Roman"/>
                <w:szCs w:val="24"/>
                <w:lang w:eastAsia="is-IS"/>
              </w:rPr>
            </w:pPr>
            <w:r w:rsidRPr="009C5115">
              <w:rPr>
                <w:rFonts w:ascii="Calibri" w:eastAsia="Times New Roman" w:hAnsi="Calibri" w:cs="Calibri"/>
                <w:color w:val="46464B"/>
                <w:lang w:eastAsia="is-IS"/>
              </w:rPr>
              <w:t>4.7</w:t>
            </w:r>
          </w:p>
        </w:tc>
      </w:tr>
    </w:tbl>
    <w:p w14:paraId="7A1044AC" w14:textId="7A79E864" w:rsidR="00B34E3F" w:rsidRDefault="00CE32A2" w:rsidP="00CE32A2">
      <w:pPr>
        <w:spacing w:after="0"/>
        <w:ind w:left="567" w:firstLine="142"/>
        <w:rPr>
          <w:rFonts w:ascii="TimesNewRomanPSMT" w:eastAsia="Times New Roman" w:hAnsi="TimesNewRomanPSMT" w:cs="Times New Roman"/>
          <w:color w:val="46464B"/>
          <w:lang w:eastAsia="is-IS"/>
        </w:rPr>
      </w:pPr>
      <w:r w:rsidRPr="009C5115">
        <w:rPr>
          <w:rFonts w:ascii="Calibri" w:eastAsia="Times New Roman" w:hAnsi="Calibri" w:cs="Calibri"/>
          <w:color w:val="46464B"/>
          <w:sz w:val="14"/>
          <w:szCs w:val="14"/>
          <w:lang w:eastAsia="is-IS"/>
        </w:rPr>
        <w:t xml:space="preserve">1) </w:t>
      </w:r>
      <w:r w:rsidRPr="009C5115">
        <w:rPr>
          <w:rFonts w:ascii="Calibri" w:eastAsia="Times New Roman" w:hAnsi="Calibri" w:cs="Calibri"/>
          <w:color w:val="46464B"/>
          <w:lang w:eastAsia="is-IS"/>
        </w:rPr>
        <w:t>Vatnsaðskilnaðar- og rúmmálsbreytingarpróf er sama prófið.</w:t>
      </w:r>
    </w:p>
    <w:p w14:paraId="70758E04" w14:textId="02B4CEF3" w:rsidR="000E3D39" w:rsidRDefault="000E3D39" w:rsidP="00CC5F2A">
      <w:pPr>
        <w:pStyle w:val="Li-fyrirsagnir"/>
        <w:tabs>
          <w:tab w:val="clear" w:pos="1008"/>
          <w:tab w:val="clear" w:pos="1134"/>
          <w:tab w:val="left" w:pos="567"/>
        </w:tabs>
        <w:ind w:left="567" w:hanging="567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 xml:space="preserve">e) </w:t>
      </w:r>
      <w:r w:rsidRPr="00B10640">
        <w:rPr>
          <w:noProof/>
          <w:szCs w:val="24"/>
          <w:lang w:val="nn-NO"/>
        </w:rPr>
        <w:tab/>
      </w:r>
      <w:r w:rsidR="008C4F11">
        <w:t>Nákvæmni</w:t>
      </w:r>
      <w:r w:rsidR="00853FBD">
        <w:t>s</w:t>
      </w:r>
      <w:r w:rsidR="008C4F11">
        <w:t>kröfur, frávik</w:t>
      </w:r>
    </w:p>
    <w:p w14:paraId="6243848A" w14:textId="7122149A" w:rsidR="00205DDB" w:rsidRPr="00625B52" w:rsidRDefault="00205DDB" w:rsidP="00205DDB">
      <w:pPr>
        <w:tabs>
          <w:tab w:val="clear" w:pos="1134"/>
        </w:tabs>
        <w:ind w:left="567"/>
        <w:rPr>
          <w:lang w:val="nb-NO"/>
        </w:rPr>
      </w:pPr>
      <w:r w:rsidRPr="00625B52">
        <w:rPr>
          <w:lang w:val="nb-NO"/>
        </w:rPr>
        <w:t>Nákvæmni við mælingu uppspennukrafts skal vera ±</w:t>
      </w:r>
      <w:r>
        <w:rPr>
          <w:lang w:val="nb-NO"/>
        </w:rPr>
        <w:t>2</w:t>
      </w:r>
      <w:r w:rsidRPr="00625B52">
        <w:rPr>
          <w:lang w:val="nb-NO"/>
        </w:rPr>
        <w:t>%.</w:t>
      </w:r>
    </w:p>
    <w:p w14:paraId="3707A7FC" w14:textId="77777777" w:rsidR="001C448F" w:rsidRPr="00625B52" w:rsidRDefault="001C448F" w:rsidP="00625B52">
      <w:pPr>
        <w:tabs>
          <w:tab w:val="clear" w:pos="1134"/>
        </w:tabs>
        <w:autoSpaceDE w:val="0"/>
        <w:autoSpaceDN w:val="0"/>
        <w:adjustRightInd w:val="0"/>
        <w:spacing w:before="0"/>
        <w:ind w:right="40" w:hanging="284"/>
        <w:jc w:val="both"/>
        <w:rPr>
          <w:rFonts w:eastAsia="Times New Roman" w:cs="Times New Roman"/>
          <w:bCs/>
          <w:color w:val="000000"/>
          <w:sz w:val="22"/>
        </w:rPr>
      </w:pPr>
      <w:r w:rsidRPr="00625B52">
        <w:rPr>
          <w:rFonts w:eastAsia="Times New Roman" w:cs="Times New Roman"/>
          <w:bCs/>
          <w:color w:val="000000"/>
          <w:sz w:val="22"/>
        </w:rPr>
        <w:t>Leyfð frávik hlutefna í vellingi:</w:t>
      </w:r>
    </w:p>
    <w:p w14:paraId="3BC449F6" w14:textId="77777777" w:rsidR="001C448F" w:rsidRPr="00625B52" w:rsidRDefault="001C448F" w:rsidP="00625B52">
      <w:pPr>
        <w:tabs>
          <w:tab w:val="clear" w:pos="1134"/>
          <w:tab w:val="left" w:pos="4536"/>
        </w:tabs>
        <w:autoSpaceDE w:val="0"/>
        <w:autoSpaceDN w:val="0"/>
        <w:adjustRightInd w:val="0"/>
        <w:spacing w:before="0"/>
        <w:ind w:right="40" w:hanging="284"/>
        <w:jc w:val="both"/>
        <w:rPr>
          <w:rFonts w:eastAsia="Times New Roman" w:cs="Times New Roman"/>
          <w:bCs/>
          <w:color w:val="000000"/>
          <w:sz w:val="22"/>
          <w:lang w:val="nb-NO"/>
        </w:rPr>
      </w:pPr>
      <w:r w:rsidRPr="00625B52">
        <w:rPr>
          <w:rFonts w:eastAsia="Times New Roman" w:cs="Times New Roman"/>
          <w:bCs/>
          <w:color w:val="000000"/>
          <w:sz w:val="22"/>
        </w:rPr>
        <w:tab/>
      </w:r>
      <w:r w:rsidRPr="00625B52">
        <w:rPr>
          <w:rFonts w:eastAsia="Times New Roman" w:cs="Times New Roman"/>
          <w:bCs/>
          <w:color w:val="000000"/>
          <w:sz w:val="22"/>
          <w:lang w:val="nb-NO"/>
        </w:rPr>
        <w:t xml:space="preserve">Sement og íblendi: </w:t>
      </w:r>
      <w:r w:rsidRPr="00625B52">
        <w:rPr>
          <w:rFonts w:eastAsia="Times New Roman" w:cs="Times New Roman"/>
          <w:bCs/>
          <w:color w:val="000000"/>
          <w:sz w:val="22"/>
          <w:lang w:val="nb-NO"/>
        </w:rPr>
        <w:tab/>
        <w:t>± 2% af fyrirskrifuðu magni</w:t>
      </w:r>
      <w:r w:rsidR="00E05BA8">
        <w:rPr>
          <w:rFonts w:eastAsia="Times New Roman" w:cs="Times New Roman"/>
          <w:bCs/>
          <w:color w:val="000000"/>
          <w:sz w:val="22"/>
          <w:lang w:val="nb-NO"/>
        </w:rPr>
        <w:t>.</w:t>
      </w:r>
    </w:p>
    <w:p w14:paraId="74562CEB" w14:textId="77777777" w:rsidR="001C448F" w:rsidRPr="00625B52" w:rsidRDefault="001C448F" w:rsidP="00625B52">
      <w:pPr>
        <w:tabs>
          <w:tab w:val="clear" w:pos="1134"/>
          <w:tab w:val="left" w:pos="4536"/>
        </w:tabs>
        <w:autoSpaceDE w:val="0"/>
        <w:autoSpaceDN w:val="0"/>
        <w:adjustRightInd w:val="0"/>
        <w:spacing w:before="0"/>
        <w:ind w:right="40" w:hanging="284"/>
        <w:jc w:val="both"/>
        <w:rPr>
          <w:rFonts w:eastAsia="Times New Roman" w:cs="Times New Roman"/>
          <w:bCs/>
          <w:color w:val="000000"/>
          <w:sz w:val="22"/>
          <w:lang w:val="nb-NO"/>
        </w:rPr>
      </w:pPr>
      <w:r w:rsidRPr="00625B52">
        <w:rPr>
          <w:rFonts w:eastAsia="Times New Roman" w:cs="Times New Roman"/>
          <w:bCs/>
          <w:color w:val="000000"/>
          <w:sz w:val="22"/>
          <w:lang w:val="nb-NO"/>
        </w:rPr>
        <w:tab/>
        <w:t xml:space="preserve">Vatn: </w:t>
      </w:r>
      <w:r w:rsidRPr="00625B52">
        <w:rPr>
          <w:rFonts w:eastAsia="Times New Roman" w:cs="Times New Roman"/>
          <w:bCs/>
          <w:color w:val="000000"/>
          <w:sz w:val="22"/>
          <w:lang w:val="nb-NO"/>
        </w:rPr>
        <w:tab/>
        <w:t>± 1% af fyrirskrifuðu magn</w:t>
      </w:r>
      <w:r w:rsidR="00E05BA8">
        <w:rPr>
          <w:rFonts w:eastAsia="Times New Roman" w:cs="Times New Roman"/>
          <w:bCs/>
          <w:color w:val="000000"/>
          <w:sz w:val="22"/>
          <w:lang w:val="nb-NO"/>
        </w:rPr>
        <w:t>i.</w:t>
      </w:r>
    </w:p>
    <w:p w14:paraId="75CAA702" w14:textId="77777777" w:rsidR="0042589C" w:rsidRPr="0042589C" w:rsidRDefault="0042589C" w:rsidP="0042589C">
      <w:pPr>
        <w:rPr>
          <w:lang w:eastAsia="is-IS"/>
        </w:rPr>
      </w:pPr>
    </w:p>
    <w:p w14:paraId="7A75FD9F" w14:textId="2C672E7D" w:rsidR="00244CA3" w:rsidRPr="00625B52" w:rsidRDefault="00CC5F2A" w:rsidP="00CC5F2A">
      <w:pPr>
        <w:pStyle w:val="Kaflafyrirsagnir"/>
        <w:tabs>
          <w:tab w:val="clear" w:pos="1134"/>
          <w:tab w:val="left" w:pos="851"/>
        </w:tabs>
        <w:ind w:left="0" w:firstLine="0"/>
        <w:rPr>
          <w:szCs w:val="24"/>
        </w:rPr>
      </w:pPr>
      <w:bookmarkStart w:id="4" w:name="_Toc74485120"/>
      <w:r>
        <w:rPr>
          <w:szCs w:val="24"/>
        </w:rPr>
        <w:lastRenderedPageBreak/>
        <w:t>84.37</w:t>
      </w:r>
      <w:r>
        <w:rPr>
          <w:szCs w:val="24"/>
        </w:rPr>
        <w:tab/>
      </w:r>
      <w:r>
        <w:rPr>
          <w:szCs w:val="24"/>
        </w:rPr>
        <w:tab/>
        <w:t>U</w:t>
      </w:r>
      <w:r w:rsidR="001C448F" w:rsidRPr="00625B52">
        <w:rPr>
          <w:szCs w:val="24"/>
        </w:rPr>
        <w:t>ppspenna og grautun</w:t>
      </w:r>
      <w:bookmarkEnd w:id="4"/>
      <w:r w:rsidR="00244CA3" w:rsidRPr="00625B52">
        <w:rPr>
          <w:szCs w:val="24"/>
        </w:rPr>
        <w:t xml:space="preserve"> </w:t>
      </w:r>
    </w:p>
    <w:p w14:paraId="1B8FAD62" w14:textId="77777777" w:rsidR="00CA7020" w:rsidRPr="00625B52" w:rsidRDefault="00625B52" w:rsidP="00205DDB">
      <w:pPr>
        <w:widowControl w:val="0"/>
        <w:spacing w:line="240" w:lineRule="atLeast"/>
        <w:ind w:left="1134" w:hanging="283"/>
        <w:rPr>
          <w:rFonts w:cs="Times New Roman"/>
          <w:noProof/>
          <w:lang w:val="nn-NO"/>
        </w:rPr>
      </w:pPr>
      <w:r w:rsidRPr="00625B52">
        <w:rPr>
          <w:rFonts w:cs="Times New Roman"/>
          <w:b/>
        </w:rPr>
        <w:t>a)</w:t>
      </w:r>
      <w:r w:rsidRPr="00625B52">
        <w:rPr>
          <w:rFonts w:cs="Times New Roman"/>
        </w:rPr>
        <w:t xml:space="preserve"> </w:t>
      </w:r>
      <w:r w:rsidR="00E05BA8">
        <w:rPr>
          <w:rFonts w:cs="Times New Roman"/>
        </w:rPr>
        <w:t>Í v</w:t>
      </w:r>
      <w:r w:rsidR="001C448F" w:rsidRPr="00625B52">
        <w:rPr>
          <w:rFonts w:cs="Times New Roman"/>
        </w:rPr>
        <w:t>erkþ</w:t>
      </w:r>
      <w:r w:rsidR="00E05BA8">
        <w:rPr>
          <w:rFonts w:cs="Times New Roman"/>
        </w:rPr>
        <w:t>ætti er</w:t>
      </w:r>
      <w:r w:rsidR="001C448F" w:rsidRPr="00625B52">
        <w:rPr>
          <w:rFonts w:cs="Times New Roman"/>
        </w:rPr>
        <w:t xml:space="preserve"> innif</w:t>
      </w:r>
      <w:r w:rsidR="00E05BA8">
        <w:rPr>
          <w:rFonts w:cs="Times New Roman"/>
        </w:rPr>
        <w:t>alinn</w:t>
      </w:r>
      <w:r w:rsidR="001C448F" w:rsidRPr="00625B52">
        <w:rPr>
          <w:rFonts w:cs="Times New Roman"/>
        </w:rPr>
        <w:t xml:space="preserve"> all</w:t>
      </w:r>
      <w:r w:rsidR="00E05BA8">
        <w:rPr>
          <w:rFonts w:cs="Times New Roman"/>
        </w:rPr>
        <w:t>ur</w:t>
      </w:r>
      <w:r w:rsidR="001C448F" w:rsidRPr="00625B52">
        <w:rPr>
          <w:rFonts w:cs="Times New Roman"/>
        </w:rPr>
        <w:t xml:space="preserve"> kostnað</w:t>
      </w:r>
      <w:r w:rsidR="00E05BA8">
        <w:rPr>
          <w:rFonts w:cs="Times New Roman"/>
        </w:rPr>
        <w:t>ur</w:t>
      </w:r>
      <w:r w:rsidR="001C448F" w:rsidRPr="00625B52">
        <w:rPr>
          <w:rFonts w:cs="Times New Roman"/>
        </w:rPr>
        <w:t>, efni, vinn</w:t>
      </w:r>
      <w:r w:rsidR="00E05BA8">
        <w:rPr>
          <w:rFonts w:cs="Times New Roman"/>
        </w:rPr>
        <w:t>a</w:t>
      </w:r>
      <w:r w:rsidR="001C448F" w:rsidRPr="00625B52">
        <w:rPr>
          <w:rFonts w:cs="Times New Roman"/>
        </w:rPr>
        <w:t xml:space="preserve"> og flutning</w:t>
      </w:r>
      <w:r w:rsidR="00E05BA8">
        <w:rPr>
          <w:rFonts w:cs="Times New Roman"/>
        </w:rPr>
        <w:t>ur</w:t>
      </w:r>
      <w:r w:rsidR="001C448F" w:rsidRPr="00625B52">
        <w:rPr>
          <w:rFonts w:cs="Times New Roman"/>
        </w:rPr>
        <w:t xml:space="preserve"> efnis vegna uppspennu og grautunar á spenniköplum í yfirbyggingu brúarinnar, þ.m.t.: Flutningur og uppsetning spenni- og grautunarbúnaðar, kostnaður vegna nauð</w:t>
      </w:r>
      <w:r w:rsidR="00CA7020" w:rsidRPr="00625B52">
        <w:rPr>
          <w:rFonts w:cs="Times New Roman"/>
        </w:rPr>
        <w:t>synlegra prófana ásamt fyllingu</w:t>
      </w:r>
      <w:r w:rsidRPr="00625B52">
        <w:rPr>
          <w:rFonts w:cs="Times New Roman"/>
        </w:rPr>
        <w:t xml:space="preserve"> </w:t>
      </w:r>
      <w:r w:rsidRPr="00625B52">
        <w:rPr>
          <w:i/>
          <w:color w:val="4F81BD" w:themeColor="accent1"/>
        </w:rPr>
        <w:t>[nánari lýsing]</w:t>
      </w:r>
      <w:r w:rsidR="00E05BA8">
        <w:rPr>
          <w:i/>
          <w:color w:val="4F81BD" w:themeColor="accent1"/>
        </w:rPr>
        <w:t>.</w:t>
      </w:r>
    </w:p>
    <w:p w14:paraId="71FB3C60" w14:textId="77777777" w:rsidR="001C448F" w:rsidRPr="00CA7020" w:rsidRDefault="00CA7020" w:rsidP="00625B52">
      <w:pPr>
        <w:widowControl w:val="0"/>
        <w:tabs>
          <w:tab w:val="clear" w:pos="1134"/>
        </w:tabs>
        <w:spacing w:line="240" w:lineRule="atLeast"/>
        <w:ind w:left="1134" w:hanging="283"/>
        <w:jc w:val="both"/>
        <w:rPr>
          <w:rFonts w:cs="Times New Roman"/>
          <w:noProof/>
          <w:lang w:val="nn-NO"/>
        </w:rPr>
      </w:pPr>
      <w:r w:rsidRPr="00625B52">
        <w:rPr>
          <w:b/>
        </w:rPr>
        <w:t xml:space="preserve"> </w:t>
      </w:r>
      <w:r w:rsidR="001C448F" w:rsidRPr="00625B52">
        <w:rPr>
          <w:b/>
        </w:rPr>
        <w:t>f)</w:t>
      </w:r>
      <w:r>
        <w:tab/>
      </w:r>
      <w:r w:rsidR="001C448F" w:rsidRPr="00CA7020">
        <w:rPr>
          <w:rFonts w:cs="Times New Roman"/>
          <w:noProof/>
          <w:lang w:val="nn-NO"/>
        </w:rPr>
        <w:t xml:space="preserve">Uppgjör miðast við fjölda spenntra og frágenginna kapla. </w:t>
      </w:r>
    </w:p>
    <w:p w14:paraId="4E481C6B" w14:textId="77777777" w:rsidR="001C448F" w:rsidRPr="001C448F" w:rsidRDefault="001C448F" w:rsidP="00625B52">
      <w:pPr>
        <w:tabs>
          <w:tab w:val="clear" w:pos="1134"/>
        </w:tabs>
        <w:spacing w:before="85" w:after="85" w:line="276" w:lineRule="auto"/>
        <w:ind w:left="1134"/>
        <w:jc w:val="both"/>
        <w:rPr>
          <w:rFonts w:cs="Times New Roman"/>
          <w:noProof/>
          <w:sz w:val="22"/>
          <w:lang w:val="nn-NO" w:eastAsia="is-IS"/>
        </w:rPr>
      </w:pPr>
      <w:r w:rsidRPr="001C448F">
        <w:rPr>
          <w:rFonts w:cs="Times New Roman"/>
          <w:noProof/>
          <w:sz w:val="22"/>
          <w:lang w:val="nn-NO" w:eastAsia="is-IS"/>
        </w:rPr>
        <w:t>Mælieining: stk.</w:t>
      </w:r>
    </w:p>
    <w:p w14:paraId="3F77244A" w14:textId="77777777" w:rsidR="002D64D3" w:rsidRDefault="002D64D3" w:rsidP="00240582">
      <w:pPr>
        <w:pStyle w:val="abcflokkar"/>
        <w:tabs>
          <w:tab w:val="left" w:pos="851"/>
          <w:tab w:val="left" w:pos="6622"/>
        </w:tabs>
        <w:rPr>
          <w:color w:val="auto"/>
          <w:sz w:val="24"/>
          <w:szCs w:val="24"/>
        </w:rPr>
      </w:pPr>
    </w:p>
    <w:sectPr w:rsidR="002D64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31EF" w14:textId="77777777" w:rsidR="002144EE" w:rsidRDefault="002144EE" w:rsidP="005B28DC">
      <w:r>
        <w:separator/>
      </w:r>
    </w:p>
  </w:endnote>
  <w:endnote w:type="continuationSeparator" w:id="0">
    <w:p w14:paraId="0756664E" w14:textId="77777777" w:rsidR="002144EE" w:rsidRDefault="002144EE" w:rsidP="005B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02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937D5" w14:textId="77777777" w:rsidR="008B0DB0" w:rsidRDefault="008B0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D2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6BF907D" w14:textId="77777777" w:rsidR="005B28DC" w:rsidRDefault="005B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AEFB" w14:textId="77777777" w:rsidR="002144EE" w:rsidRDefault="002144EE" w:rsidP="005B28DC">
      <w:r>
        <w:separator/>
      </w:r>
    </w:p>
  </w:footnote>
  <w:footnote w:type="continuationSeparator" w:id="0">
    <w:p w14:paraId="4FEB0C23" w14:textId="77777777" w:rsidR="002144EE" w:rsidRDefault="002144EE" w:rsidP="005B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512F" w14:textId="0235B17B" w:rsidR="008B0DB0" w:rsidRDefault="008B0DB0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CC5F2A">
      <w:t>11</w:t>
    </w:r>
    <w:r w:rsidR="00571D27">
      <w:t>.0</w:t>
    </w:r>
    <w:r w:rsidR="00CC5F2A">
      <w:t>6</w:t>
    </w:r>
    <w:r w:rsidR="00571D27">
      <w:t>.20</w:t>
    </w:r>
    <w:r w:rsidR="00CC5F2A">
      <w:t>21</w:t>
    </w:r>
  </w:p>
  <w:p w14:paraId="6BB7BA1B" w14:textId="54436FC2" w:rsidR="001C7CDE" w:rsidRDefault="001C7CDE" w:rsidP="001C7CDE">
    <w:pPr>
      <w:pStyle w:val="Header"/>
      <w:jc w:val="center"/>
    </w:pPr>
    <w:r>
      <w:t>SNI-3401</w:t>
    </w:r>
    <w:r>
      <w:t>, 84.37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514"/>
    <w:multiLevelType w:val="hybridMultilevel"/>
    <w:tmpl w:val="B5E6ED0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7D3E"/>
    <w:multiLevelType w:val="multilevel"/>
    <w:tmpl w:val="242C07DA"/>
    <w:lvl w:ilvl="0">
      <w:start w:val="8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E4B94"/>
    <w:multiLevelType w:val="hybridMultilevel"/>
    <w:tmpl w:val="1E6C6E7C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0E7"/>
    <w:multiLevelType w:val="hybridMultilevel"/>
    <w:tmpl w:val="3EDC083A"/>
    <w:lvl w:ilvl="0" w:tplc="00010409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95910EC"/>
    <w:multiLevelType w:val="hybridMultilevel"/>
    <w:tmpl w:val="B9244DF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4B09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236DF"/>
    <w:multiLevelType w:val="hybridMultilevel"/>
    <w:tmpl w:val="B5B0CBE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F90"/>
    <w:multiLevelType w:val="hybridMultilevel"/>
    <w:tmpl w:val="1C7AC9CA"/>
    <w:lvl w:ilvl="0" w:tplc="6E0A1482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A4364"/>
    <w:multiLevelType w:val="hybridMultilevel"/>
    <w:tmpl w:val="D1400A2A"/>
    <w:lvl w:ilvl="0" w:tplc="BDC001AE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96157"/>
    <w:multiLevelType w:val="hybridMultilevel"/>
    <w:tmpl w:val="19E4AF84"/>
    <w:lvl w:ilvl="0" w:tplc="00010409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8973"/>
        </w:tabs>
        <w:ind w:left="897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9693"/>
        </w:tabs>
        <w:ind w:left="969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10413"/>
        </w:tabs>
        <w:ind w:left="1041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11133"/>
        </w:tabs>
        <w:ind w:left="1113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11853"/>
        </w:tabs>
        <w:ind w:left="1185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12573"/>
        </w:tabs>
        <w:ind w:left="12573" w:hanging="360"/>
      </w:pPr>
      <w:rPr>
        <w:rFonts w:ascii="Wingdings" w:hAnsi="Wingdings" w:hint="default"/>
      </w:rPr>
    </w:lvl>
  </w:abstractNum>
  <w:abstractNum w:abstractNumId="9" w15:restartNumberingAfterBreak="0">
    <w:nsid w:val="57257232"/>
    <w:multiLevelType w:val="hybridMultilevel"/>
    <w:tmpl w:val="7C6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F35960"/>
    <w:multiLevelType w:val="multilevel"/>
    <w:tmpl w:val="E7ECDBBE"/>
    <w:lvl w:ilvl="0">
      <w:start w:val="8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67F51F0"/>
    <w:multiLevelType w:val="hybridMultilevel"/>
    <w:tmpl w:val="00FE8A7E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A6D24"/>
    <w:multiLevelType w:val="hybridMultilevel"/>
    <w:tmpl w:val="A2809778"/>
    <w:lvl w:ilvl="0" w:tplc="040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15029C"/>
    <w:multiLevelType w:val="hybridMultilevel"/>
    <w:tmpl w:val="67721292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C659F"/>
    <w:multiLevelType w:val="hybridMultilevel"/>
    <w:tmpl w:val="7EA8508A"/>
    <w:lvl w:ilvl="0" w:tplc="00010409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7B82C8B"/>
    <w:multiLevelType w:val="hybridMultilevel"/>
    <w:tmpl w:val="0CDE22CC"/>
    <w:lvl w:ilvl="0" w:tplc="040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CB745A"/>
    <w:multiLevelType w:val="hybridMultilevel"/>
    <w:tmpl w:val="D1400A2A"/>
    <w:lvl w:ilvl="0" w:tplc="BDC001AE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4072">
    <w:abstractNumId w:val="9"/>
  </w:num>
  <w:num w:numId="2" w16cid:durableId="834878303">
    <w:abstractNumId w:val="2"/>
  </w:num>
  <w:num w:numId="3" w16cid:durableId="2043162914">
    <w:abstractNumId w:val="13"/>
  </w:num>
  <w:num w:numId="4" w16cid:durableId="677270332">
    <w:abstractNumId w:val="11"/>
  </w:num>
  <w:num w:numId="5" w16cid:durableId="446390525">
    <w:abstractNumId w:val="0"/>
  </w:num>
  <w:num w:numId="6" w16cid:durableId="51082698">
    <w:abstractNumId w:val="3"/>
  </w:num>
  <w:num w:numId="7" w16cid:durableId="651952752">
    <w:abstractNumId w:val="14"/>
  </w:num>
  <w:num w:numId="8" w16cid:durableId="721902331">
    <w:abstractNumId w:val="8"/>
  </w:num>
  <w:num w:numId="9" w16cid:durableId="505243608">
    <w:abstractNumId w:val="16"/>
  </w:num>
  <w:num w:numId="10" w16cid:durableId="686490947">
    <w:abstractNumId w:val="4"/>
  </w:num>
  <w:num w:numId="11" w16cid:durableId="479150252">
    <w:abstractNumId w:val="5"/>
  </w:num>
  <w:num w:numId="12" w16cid:durableId="1395809042">
    <w:abstractNumId w:val="15"/>
  </w:num>
  <w:num w:numId="13" w16cid:durableId="1755514341">
    <w:abstractNumId w:val="12"/>
  </w:num>
  <w:num w:numId="14" w16cid:durableId="1913731425">
    <w:abstractNumId w:val="7"/>
  </w:num>
  <w:num w:numId="15" w16cid:durableId="1046951928">
    <w:abstractNumId w:val="10"/>
  </w:num>
  <w:num w:numId="16" w16cid:durableId="1588269888">
    <w:abstractNumId w:val="6"/>
  </w:num>
  <w:num w:numId="17" w16cid:durableId="134736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EA"/>
    <w:rsid w:val="000161C2"/>
    <w:rsid w:val="00022237"/>
    <w:rsid w:val="00022870"/>
    <w:rsid w:val="00031111"/>
    <w:rsid w:val="00036545"/>
    <w:rsid w:val="00046D0F"/>
    <w:rsid w:val="00057F6D"/>
    <w:rsid w:val="0007043D"/>
    <w:rsid w:val="00077A69"/>
    <w:rsid w:val="000A004C"/>
    <w:rsid w:val="000A12E4"/>
    <w:rsid w:val="000A78EA"/>
    <w:rsid w:val="000B40B1"/>
    <w:rsid w:val="000B7FAC"/>
    <w:rsid w:val="000C3F14"/>
    <w:rsid w:val="000C7B1F"/>
    <w:rsid w:val="000E3D39"/>
    <w:rsid w:val="000F158D"/>
    <w:rsid w:val="001145FB"/>
    <w:rsid w:val="00115E8F"/>
    <w:rsid w:val="00126B40"/>
    <w:rsid w:val="00126F32"/>
    <w:rsid w:val="00135457"/>
    <w:rsid w:val="0014673D"/>
    <w:rsid w:val="00166448"/>
    <w:rsid w:val="001664A5"/>
    <w:rsid w:val="001668D2"/>
    <w:rsid w:val="001714CA"/>
    <w:rsid w:val="00173F0B"/>
    <w:rsid w:val="00173FEF"/>
    <w:rsid w:val="0019062D"/>
    <w:rsid w:val="001917F8"/>
    <w:rsid w:val="001926DE"/>
    <w:rsid w:val="001A4384"/>
    <w:rsid w:val="001B0796"/>
    <w:rsid w:val="001B3FE5"/>
    <w:rsid w:val="001C2A54"/>
    <w:rsid w:val="001C308B"/>
    <w:rsid w:val="001C448F"/>
    <w:rsid w:val="001C707A"/>
    <w:rsid w:val="001C7CDE"/>
    <w:rsid w:val="00201B62"/>
    <w:rsid w:val="002024C8"/>
    <w:rsid w:val="002026BC"/>
    <w:rsid w:val="00205DDB"/>
    <w:rsid w:val="002144EE"/>
    <w:rsid w:val="00222ECD"/>
    <w:rsid w:val="002316A3"/>
    <w:rsid w:val="002331FB"/>
    <w:rsid w:val="00235848"/>
    <w:rsid w:val="00240582"/>
    <w:rsid w:val="00241FB6"/>
    <w:rsid w:val="00244CA3"/>
    <w:rsid w:val="00245F06"/>
    <w:rsid w:val="0025499D"/>
    <w:rsid w:val="00262D08"/>
    <w:rsid w:val="0026377F"/>
    <w:rsid w:val="0026403E"/>
    <w:rsid w:val="002715CB"/>
    <w:rsid w:val="00271A12"/>
    <w:rsid w:val="00271C3E"/>
    <w:rsid w:val="002926BC"/>
    <w:rsid w:val="00292A98"/>
    <w:rsid w:val="002A2DEF"/>
    <w:rsid w:val="002D5F6B"/>
    <w:rsid w:val="002D64D3"/>
    <w:rsid w:val="002E0CF7"/>
    <w:rsid w:val="002E3A9A"/>
    <w:rsid w:val="002E76AA"/>
    <w:rsid w:val="002F0A56"/>
    <w:rsid w:val="0030363B"/>
    <w:rsid w:val="00322B84"/>
    <w:rsid w:val="003260A9"/>
    <w:rsid w:val="0035071B"/>
    <w:rsid w:val="0035498C"/>
    <w:rsid w:val="00387841"/>
    <w:rsid w:val="00387BC7"/>
    <w:rsid w:val="00393D1A"/>
    <w:rsid w:val="003A50EC"/>
    <w:rsid w:val="003B5A4F"/>
    <w:rsid w:val="003C15D1"/>
    <w:rsid w:val="003C38BF"/>
    <w:rsid w:val="003C60F3"/>
    <w:rsid w:val="003D375F"/>
    <w:rsid w:val="003D3F3A"/>
    <w:rsid w:val="003D7859"/>
    <w:rsid w:val="003E2A79"/>
    <w:rsid w:val="003F28F8"/>
    <w:rsid w:val="003F7950"/>
    <w:rsid w:val="004062D0"/>
    <w:rsid w:val="004120D7"/>
    <w:rsid w:val="004155E6"/>
    <w:rsid w:val="00420A85"/>
    <w:rsid w:val="00421C69"/>
    <w:rsid w:val="00423A52"/>
    <w:rsid w:val="0042589C"/>
    <w:rsid w:val="00431C33"/>
    <w:rsid w:val="004326BC"/>
    <w:rsid w:val="0043568B"/>
    <w:rsid w:val="004360A5"/>
    <w:rsid w:val="00443734"/>
    <w:rsid w:val="00454C6A"/>
    <w:rsid w:val="0046145C"/>
    <w:rsid w:val="004665E4"/>
    <w:rsid w:val="004714BF"/>
    <w:rsid w:val="00472C7F"/>
    <w:rsid w:val="00472DA6"/>
    <w:rsid w:val="004A256B"/>
    <w:rsid w:val="004A3BAD"/>
    <w:rsid w:val="004B3990"/>
    <w:rsid w:val="004C1129"/>
    <w:rsid w:val="004D0064"/>
    <w:rsid w:val="004D70EE"/>
    <w:rsid w:val="004E048E"/>
    <w:rsid w:val="004F2C0B"/>
    <w:rsid w:val="004F7D40"/>
    <w:rsid w:val="005031C4"/>
    <w:rsid w:val="00503938"/>
    <w:rsid w:val="00512862"/>
    <w:rsid w:val="00527E1D"/>
    <w:rsid w:val="00533D3B"/>
    <w:rsid w:val="00571D27"/>
    <w:rsid w:val="005818E8"/>
    <w:rsid w:val="005833EA"/>
    <w:rsid w:val="005A0E00"/>
    <w:rsid w:val="005A1DE8"/>
    <w:rsid w:val="005A544D"/>
    <w:rsid w:val="005B28DC"/>
    <w:rsid w:val="005C03BC"/>
    <w:rsid w:val="005C4CCD"/>
    <w:rsid w:val="005D14EF"/>
    <w:rsid w:val="005D4FD3"/>
    <w:rsid w:val="005D5DED"/>
    <w:rsid w:val="005F4B5C"/>
    <w:rsid w:val="005F6F3C"/>
    <w:rsid w:val="006017A5"/>
    <w:rsid w:val="0060456D"/>
    <w:rsid w:val="00611EAB"/>
    <w:rsid w:val="006168E2"/>
    <w:rsid w:val="00625B52"/>
    <w:rsid w:val="006277E2"/>
    <w:rsid w:val="00633A30"/>
    <w:rsid w:val="00657005"/>
    <w:rsid w:val="0066496B"/>
    <w:rsid w:val="006A5154"/>
    <w:rsid w:val="006C036C"/>
    <w:rsid w:val="006C2624"/>
    <w:rsid w:val="006D01F5"/>
    <w:rsid w:val="006E2EFB"/>
    <w:rsid w:val="006E4BE0"/>
    <w:rsid w:val="006F248B"/>
    <w:rsid w:val="006F36E7"/>
    <w:rsid w:val="006F6D74"/>
    <w:rsid w:val="00703850"/>
    <w:rsid w:val="00707CF6"/>
    <w:rsid w:val="00711E74"/>
    <w:rsid w:val="007155A7"/>
    <w:rsid w:val="00716697"/>
    <w:rsid w:val="0071744D"/>
    <w:rsid w:val="0072357B"/>
    <w:rsid w:val="00734C4B"/>
    <w:rsid w:val="00741FA5"/>
    <w:rsid w:val="00743125"/>
    <w:rsid w:val="00750555"/>
    <w:rsid w:val="007602E0"/>
    <w:rsid w:val="00765A22"/>
    <w:rsid w:val="0079261B"/>
    <w:rsid w:val="00794718"/>
    <w:rsid w:val="007A12AC"/>
    <w:rsid w:val="007A1B0C"/>
    <w:rsid w:val="007A3BF0"/>
    <w:rsid w:val="007A77A4"/>
    <w:rsid w:val="007B562E"/>
    <w:rsid w:val="007C3590"/>
    <w:rsid w:val="007D174A"/>
    <w:rsid w:val="007F04C2"/>
    <w:rsid w:val="007F5C04"/>
    <w:rsid w:val="008100F5"/>
    <w:rsid w:val="00810A03"/>
    <w:rsid w:val="00811BD5"/>
    <w:rsid w:val="008127FC"/>
    <w:rsid w:val="008207EA"/>
    <w:rsid w:val="00831D1B"/>
    <w:rsid w:val="00835C18"/>
    <w:rsid w:val="00840C24"/>
    <w:rsid w:val="008507E2"/>
    <w:rsid w:val="00853FBD"/>
    <w:rsid w:val="00865E8F"/>
    <w:rsid w:val="00873ED8"/>
    <w:rsid w:val="00874F2F"/>
    <w:rsid w:val="00877AC8"/>
    <w:rsid w:val="00890A2A"/>
    <w:rsid w:val="008959AA"/>
    <w:rsid w:val="00897BD8"/>
    <w:rsid w:val="008A1444"/>
    <w:rsid w:val="008B0DB0"/>
    <w:rsid w:val="008B61F2"/>
    <w:rsid w:val="008B75CA"/>
    <w:rsid w:val="008C4212"/>
    <w:rsid w:val="008C4F11"/>
    <w:rsid w:val="008D7DEC"/>
    <w:rsid w:val="008E766B"/>
    <w:rsid w:val="008F2C90"/>
    <w:rsid w:val="008F414A"/>
    <w:rsid w:val="00907910"/>
    <w:rsid w:val="00922C50"/>
    <w:rsid w:val="00941F08"/>
    <w:rsid w:val="00942E3C"/>
    <w:rsid w:val="00957BC2"/>
    <w:rsid w:val="00960925"/>
    <w:rsid w:val="009645D8"/>
    <w:rsid w:val="00982B8F"/>
    <w:rsid w:val="00983E85"/>
    <w:rsid w:val="00986C74"/>
    <w:rsid w:val="009A17AA"/>
    <w:rsid w:val="009B4EDB"/>
    <w:rsid w:val="009B69C1"/>
    <w:rsid w:val="009C6016"/>
    <w:rsid w:val="009C7FA1"/>
    <w:rsid w:val="009D0FBF"/>
    <w:rsid w:val="009D1A93"/>
    <w:rsid w:val="009D439A"/>
    <w:rsid w:val="009D5B28"/>
    <w:rsid w:val="00A0307A"/>
    <w:rsid w:val="00A14F17"/>
    <w:rsid w:val="00A1683D"/>
    <w:rsid w:val="00A16B49"/>
    <w:rsid w:val="00A31A6B"/>
    <w:rsid w:val="00A35456"/>
    <w:rsid w:val="00A44494"/>
    <w:rsid w:val="00A60521"/>
    <w:rsid w:val="00A64584"/>
    <w:rsid w:val="00A66DDF"/>
    <w:rsid w:val="00A756BE"/>
    <w:rsid w:val="00A81C00"/>
    <w:rsid w:val="00A849B9"/>
    <w:rsid w:val="00A93D05"/>
    <w:rsid w:val="00AA7523"/>
    <w:rsid w:val="00AB7A51"/>
    <w:rsid w:val="00AC1591"/>
    <w:rsid w:val="00AC23BC"/>
    <w:rsid w:val="00B0275D"/>
    <w:rsid w:val="00B032DD"/>
    <w:rsid w:val="00B12621"/>
    <w:rsid w:val="00B151FD"/>
    <w:rsid w:val="00B17689"/>
    <w:rsid w:val="00B200D5"/>
    <w:rsid w:val="00B24812"/>
    <w:rsid w:val="00B31FC4"/>
    <w:rsid w:val="00B34E3F"/>
    <w:rsid w:val="00B46A5D"/>
    <w:rsid w:val="00B511A7"/>
    <w:rsid w:val="00B7105D"/>
    <w:rsid w:val="00B73D7E"/>
    <w:rsid w:val="00B85A68"/>
    <w:rsid w:val="00B97DF6"/>
    <w:rsid w:val="00BA22BE"/>
    <w:rsid w:val="00BE1F07"/>
    <w:rsid w:val="00BF1BFF"/>
    <w:rsid w:val="00C16D2F"/>
    <w:rsid w:val="00C26B23"/>
    <w:rsid w:val="00C30E00"/>
    <w:rsid w:val="00C30E6D"/>
    <w:rsid w:val="00C51C4B"/>
    <w:rsid w:val="00C54BDB"/>
    <w:rsid w:val="00C73C64"/>
    <w:rsid w:val="00C82289"/>
    <w:rsid w:val="00C91C69"/>
    <w:rsid w:val="00CA6C24"/>
    <w:rsid w:val="00CA7020"/>
    <w:rsid w:val="00CA7E5B"/>
    <w:rsid w:val="00CC5B7A"/>
    <w:rsid w:val="00CC5F2A"/>
    <w:rsid w:val="00CD656E"/>
    <w:rsid w:val="00CD7B2C"/>
    <w:rsid w:val="00CE2E5D"/>
    <w:rsid w:val="00CE32A2"/>
    <w:rsid w:val="00CE5793"/>
    <w:rsid w:val="00CF2331"/>
    <w:rsid w:val="00D05DC8"/>
    <w:rsid w:val="00D21EC6"/>
    <w:rsid w:val="00D27597"/>
    <w:rsid w:val="00D3051C"/>
    <w:rsid w:val="00D43DCA"/>
    <w:rsid w:val="00D56934"/>
    <w:rsid w:val="00D64CDA"/>
    <w:rsid w:val="00D66C43"/>
    <w:rsid w:val="00D70309"/>
    <w:rsid w:val="00D70E32"/>
    <w:rsid w:val="00D7208D"/>
    <w:rsid w:val="00D73D43"/>
    <w:rsid w:val="00D75225"/>
    <w:rsid w:val="00D75C81"/>
    <w:rsid w:val="00D767ED"/>
    <w:rsid w:val="00D9717F"/>
    <w:rsid w:val="00DB01C5"/>
    <w:rsid w:val="00DB3785"/>
    <w:rsid w:val="00DB3A1C"/>
    <w:rsid w:val="00DB56C8"/>
    <w:rsid w:val="00DC1D09"/>
    <w:rsid w:val="00DC3AA5"/>
    <w:rsid w:val="00DD45B9"/>
    <w:rsid w:val="00DD48F8"/>
    <w:rsid w:val="00DE0745"/>
    <w:rsid w:val="00DE7A62"/>
    <w:rsid w:val="00E05BA8"/>
    <w:rsid w:val="00E207CA"/>
    <w:rsid w:val="00E23E7A"/>
    <w:rsid w:val="00E2572E"/>
    <w:rsid w:val="00E45504"/>
    <w:rsid w:val="00E5086E"/>
    <w:rsid w:val="00E55C08"/>
    <w:rsid w:val="00E60FB5"/>
    <w:rsid w:val="00E62954"/>
    <w:rsid w:val="00E650FA"/>
    <w:rsid w:val="00E71AEA"/>
    <w:rsid w:val="00E84E0C"/>
    <w:rsid w:val="00EA0799"/>
    <w:rsid w:val="00EB0607"/>
    <w:rsid w:val="00EB525C"/>
    <w:rsid w:val="00ED0CD1"/>
    <w:rsid w:val="00ED68C9"/>
    <w:rsid w:val="00EE0471"/>
    <w:rsid w:val="00EE639F"/>
    <w:rsid w:val="00EE65FD"/>
    <w:rsid w:val="00EF08E5"/>
    <w:rsid w:val="00EF6545"/>
    <w:rsid w:val="00EF7607"/>
    <w:rsid w:val="00F007F4"/>
    <w:rsid w:val="00F13BCD"/>
    <w:rsid w:val="00F32EA3"/>
    <w:rsid w:val="00F42318"/>
    <w:rsid w:val="00F42BC9"/>
    <w:rsid w:val="00F47032"/>
    <w:rsid w:val="00F525EA"/>
    <w:rsid w:val="00F73FAB"/>
    <w:rsid w:val="00F77902"/>
    <w:rsid w:val="00F77B13"/>
    <w:rsid w:val="00F802FE"/>
    <w:rsid w:val="00F80AB2"/>
    <w:rsid w:val="00F90AB5"/>
    <w:rsid w:val="00FA1C95"/>
    <w:rsid w:val="00FA4F78"/>
    <w:rsid w:val="00FA6B36"/>
    <w:rsid w:val="00FD357F"/>
    <w:rsid w:val="00FD6396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27A3"/>
  <w15:docId w15:val="{761DA4BF-AEDD-44CE-80B3-FE2E461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633A30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8207EA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026BC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abcflokkarChar">
    <w:name w:val="abc flokkar Char"/>
    <w:link w:val="abcflokkar"/>
    <w:rsid w:val="008207E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2026BC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8207EA"/>
    <w:pPr>
      <w:spacing w:after="0" w:line="240" w:lineRule="auto"/>
    </w:pPr>
    <w:rPr>
      <w:color w:val="auto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026BC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026B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16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6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5C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verkþáttur"/>
    <w:uiPriority w:val="1"/>
    <w:qFormat/>
    <w:rsid w:val="002026BC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026BC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026BC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026BC"/>
    <w:rPr>
      <w:color w:val="0000FF" w:themeColor="hyperlink"/>
      <w:u w:val="single"/>
    </w:rPr>
  </w:style>
  <w:style w:type="paragraph" w:customStyle="1" w:styleId="Liurtexti">
    <w:name w:val="Liður texti"/>
    <w:basedOn w:val="Normal"/>
    <w:link w:val="LiurtextiChar"/>
    <w:autoRedefine/>
    <w:qFormat/>
    <w:rsid w:val="002316A3"/>
    <w:pPr>
      <w:widowControl w:val="0"/>
      <w:tabs>
        <w:tab w:val="clear" w:pos="1134"/>
      </w:tabs>
      <w:kinsoku w:val="0"/>
      <w:autoSpaceDE w:val="0"/>
      <w:autoSpaceDN w:val="0"/>
      <w:adjustRightInd w:val="0"/>
      <w:spacing w:after="60"/>
      <w:ind w:left="567" w:right="425"/>
      <w:jc w:val="both"/>
    </w:pPr>
    <w:rPr>
      <w:rFonts w:eastAsia="Times" w:cs="Times New Roman"/>
      <w:bCs/>
      <w:noProof/>
      <w:szCs w:val="24"/>
      <w:lang w:eastAsia="is-IS"/>
    </w:rPr>
  </w:style>
  <w:style w:type="character" w:customStyle="1" w:styleId="LiurtextiChar">
    <w:name w:val="Liður texti Char"/>
    <w:basedOn w:val="DefaultParagraphFont"/>
    <w:link w:val="Liurtexti"/>
    <w:locked/>
    <w:rsid w:val="002316A3"/>
    <w:rPr>
      <w:rFonts w:ascii="Times New Roman" w:eastAsia="Times" w:hAnsi="Times New Roman" w:cs="Times New Roman"/>
      <w:bCs/>
      <w:noProof/>
      <w:sz w:val="24"/>
      <w:szCs w:val="24"/>
      <w:lang w:eastAsia="is-IS"/>
    </w:rPr>
  </w:style>
  <w:style w:type="paragraph" w:styleId="TOC3">
    <w:name w:val="toc 3"/>
    <w:basedOn w:val="Normal"/>
    <w:next w:val="Normal"/>
    <w:autoRedefine/>
    <w:uiPriority w:val="39"/>
    <w:unhideWhenUsed/>
    <w:rsid w:val="005A544D"/>
    <w:pPr>
      <w:tabs>
        <w:tab w:val="clear" w:pos="1134"/>
      </w:tabs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1C448F"/>
    <w:pPr>
      <w:tabs>
        <w:tab w:val="clear" w:pos="1134"/>
      </w:tabs>
      <w:spacing w:before="0" w:after="200" w:line="276" w:lineRule="auto"/>
      <w:ind w:left="708"/>
    </w:pPr>
    <w:rPr>
      <w:rFonts w:asciiTheme="minorHAnsi" w:hAnsiTheme="minorHAnsi"/>
      <w:sz w:val="22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E751-0921-4284-8D33-2B6CD5C6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Gísli Gíslason</dc:creator>
  <cp:lastModifiedBy>Björgvin Brynjólfsson - VG</cp:lastModifiedBy>
  <cp:revision>3</cp:revision>
  <cp:lastPrinted>2016-03-31T09:27:00Z</cp:lastPrinted>
  <dcterms:created xsi:type="dcterms:W3CDTF">2021-06-13T15:14:00Z</dcterms:created>
  <dcterms:modified xsi:type="dcterms:W3CDTF">2023-05-02T15:30:00Z</dcterms:modified>
</cp:coreProperties>
</file>