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73542479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3437822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E57876" w14:textId="77777777" w:rsidR="008B0DB0" w:rsidRPr="008B0DB0" w:rsidRDefault="008B0DB0">
          <w:pPr>
            <w:pStyle w:val="TOCHeading"/>
            <w:rPr>
              <w:b/>
              <w:color w:val="auto"/>
            </w:rPr>
          </w:pPr>
          <w:proofErr w:type="spellStart"/>
          <w:r w:rsidRPr="008B0DB0">
            <w:rPr>
              <w:b/>
              <w:color w:val="auto"/>
            </w:rPr>
            <w:t>Efnisyfirlit</w:t>
          </w:r>
          <w:proofErr w:type="spellEnd"/>
        </w:p>
        <w:p w14:paraId="33E57877" w14:textId="77777777" w:rsidR="008B1D2A" w:rsidRDefault="008B0DB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3158878" w:history="1">
            <w:r w:rsidR="008B1D2A" w:rsidRPr="00CE4669">
              <w:rPr>
                <w:rStyle w:val="Hyperlink"/>
                <w:rFonts w:ascii="Times" w:hAnsi="Times" w:cs="Arial"/>
                <w:b/>
                <w:bCs/>
                <w:noProof/>
                <w:kern w:val="32"/>
                <w:lang w:eastAsia="is-IS"/>
              </w:rPr>
              <w:t>Slakbent járnalögn - Almenn lýsing</w:t>
            </w:r>
            <w:r w:rsidR="008B1D2A">
              <w:rPr>
                <w:noProof/>
                <w:webHidden/>
              </w:rPr>
              <w:tab/>
            </w:r>
            <w:r w:rsidR="008B1D2A">
              <w:rPr>
                <w:noProof/>
                <w:webHidden/>
              </w:rPr>
              <w:fldChar w:fldCharType="begin"/>
            </w:r>
            <w:r w:rsidR="008B1D2A">
              <w:rPr>
                <w:noProof/>
                <w:webHidden/>
              </w:rPr>
              <w:instrText xml:space="preserve"> PAGEREF _Toc533158878 \h </w:instrText>
            </w:r>
            <w:r w:rsidR="008B1D2A">
              <w:rPr>
                <w:noProof/>
                <w:webHidden/>
              </w:rPr>
            </w:r>
            <w:r w:rsidR="008B1D2A">
              <w:rPr>
                <w:noProof/>
                <w:webHidden/>
              </w:rPr>
              <w:fldChar w:fldCharType="separate"/>
            </w:r>
            <w:r w:rsidR="008B1D2A">
              <w:rPr>
                <w:noProof/>
                <w:webHidden/>
              </w:rPr>
              <w:t>1</w:t>
            </w:r>
            <w:r w:rsidR="008B1D2A">
              <w:rPr>
                <w:noProof/>
                <w:webHidden/>
              </w:rPr>
              <w:fldChar w:fldCharType="end"/>
            </w:r>
          </w:hyperlink>
        </w:p>
        <w:p w14:paraId="33E57878" w14:textId="77777777" w:rsidR="008B1D2A" w:rsidRDefault="0034601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79" w:history="1">
            <w:r w:rsidR="008B1D2A" w:rsidRPr="00CE4669">
              <w:rPr>
                <w:rStyle w:val="Hyperlink"/>
                <w:noProof/>
              </w:rPr>
              <w:t>84.311  Járnalögn í sökkla</w:t>
            </w:r>
            <w:r w:rsidR="008B1D2A">
              <w:rPr>
                <w:noProof/>
                <w:webHidden/>
              </w:rPr>
              <w:tab/>
            </w:r>
            <w:r w:rsidR="008B1D2A">
              <w:rPr>
                <w:noProof/>
                <w:webHidden/>
              </w:rPr>
              <w:fldChar w:fldCharType="begin"/>
            </w:r>
            <w:r w:rsidR="008B1D2A">
              <w:rPr>
                <w:noProof/>
                <w:webHidden/>
              </w:rPr>
              <w:instrText xml:space="preserve"> PAGEREF _Toc533158879 \h </w:instrText>
            </w:r>
            <w:r w:rsidR="008B1D2A">
              <w:rPr>
                <w:noProof/>
                <w:webHidden/>
              </w:rPr>
            </w:r>
            <w:r w:rsidR="008B1D2A">
              <w:rPr>
                <w:noProof/>
                <w:webHidden/>
              </w:rPr>
              <w:fldChar w:fldCharType="separate"/>
            </w:r>
            <w:r w:rsidR="008B1D2A">
              <w:rPr>
                <w:noProof/>
                <w:webHidden/>
              </w:rPr>
              <w:t>3</w:t>
            </w:r>
            <w:r w:rsidR="008B1D2A">
              <w:rPr>
                <w:noProof/>
                <w:webHidden/>
              </w:rPr>
              <w:fldChar w:fldCharType="end"/>
            </w:r>
          </w:hyperlink>
        </w:p>
        <w:p w14:paraId="33E57879" w14:textId="77777777" w:rsidR="008B1D2A" w:rsidRDefault="0034601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80" w:history="1">
            <w:r w:rsidR="008B1D2A" w:rsidRPr="00CE4669">
              <w:rPr>
                <w:rStyle w:val="Hyperlink"/>
                <w:noProof/>
              </w:rPr>
              <w:t>84.312  Járnalögn í stoðveggi</w:t>
            </w:r>
            <w:r w:rsidR="008B1D2A">
              <w:rPr>
                <w:noProof/>
                <w:webHidden/>
              </w:rPr>
              <w:tab/>
            </w:r>
            <w:r w:rsidR="008B1D2A">
              <w:rPr>
                <w:noProof/>
                <w:webHidden/>
              </w:rPr>
              <w:fldChar w:fldCharType="begin"/>
            </w:r>
            <w:r w:rsidR="008B1D2A">
              <w:rPr>
                <w:noProof/>
                <w:webHidden/>
              </w:rPr>
              <w:instrText xml:space="preserve"> PAGEREF _Toc533158880 \h </w:instrText>
            </w:r>
            <w:r w:rsidR="008B1D2A">
              <w:rPr>
                <w:noProof/>
                <w:webHidden/>
              </w:rPr>
            </w:r>
            <w:r w:rsidR="008B1D2A">
              <w:rPr>
                <w:noProof/>
                <w:webHidden/>
              </w:rPr>
              <w:fldChar w:fldCharType="separate"/>
            </w:r>
            <w:r w:rsidR="008B1D2A">
              <w:rPr>
                <w:noProof/>
                <w:webHidden/>
              </w:rPr>
              <w:t>3</w:t>
            </w:r>
            <w:r w:rsidR="008B1D2A">
              <w:rPr>
                <w:noProof/>
                <w:webHidden/>
              </w:rPr>
              <w:fldChar w:fldCharType="end"/>
            </w:r>
          </w:hyperlink>
        </w:p>
        <w:p w14:paraId="33E5787A" w14:textId="77777777" w:rsidR="008B1D2A" w:rsidRDefault="0034601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81" w:history="1">
            <w:r w:rsidR="008B1D2A" w:rsidRPr="00CE4669">
              <w:rPr>
                <w:rStyle w:val="Hyperlink"/>
                <w:noProof/>
              </w:rPr>
              <w:t>84.313 Járnalögn í stöpla</w:t>
            </w:r>
            <w:r w:rsidR="008B1D2A">
              <w:rPr>
                <w:noProof/>
                <w:webHidden/>
              </w:rPr>
              <w:tab/>
            </w:r>
            <w:r w:rsidR="008B1D2A">
              <w:rPr>
                <w:noProof/>
                <w:webHidden/>
              </w:rPr>
              <w:fldChar w:fldCharType="begin"/>
            </w:r>
            <w:r w:rsidR="008B1D2A">
              <w:rPr>
                <w:noProof/>
                <w:webHidden/>
              </w:rPr>
              <w:instrText xml:space="preserve"> PAGEREF _Toc533158881 \h </w:instrText>
            </w:r>
            <w:r w:rsidR="008B1D2A">
              <w:rPr>
                <w:noProof/>
                <w:webHidden/>
              </w:rPr>
            </w:r>
            <w:r w:rsidR="008B1D2A">
              <w:rPr>
                <w:noProof/>
                <w:webHidden/>
              </w:rPr>
              <w:fldChar w:fldCharType="separate"/>
            </w:r>
            <w:r w:rsidR="008B1D2A">
              <w:rPr>
                <w:noProof/>
                <w:webHidden/>
              </w:rPr>
              <w:t>3</w:t>
            </w:r>
            <w:r w:rsidR="008B1D2A">
              <w:rPr>
                <w:noProof/>
                <w:webHidden/>
              </w:rPr>
              <w:fldChar w:fldCharType="end"/>
            </w:r>
          </w:hyperlink>
        </w:p>
        <w:p w14:paraId="33E5787B" w14:textId="77777777" w:rsidR="008B1D2A" w:rsidRDefault="0034601B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33158882" w:history="1">
            <w:r w:rsidR="008B1D2A" w:rsidRPr="00CE4669">
              <w:rPr>
                <w:rStyle w:val="Hyperlink"/>
                <w:noProof/>
              </w:rPr>
              <w:t>84.313  Járnalögn í yfirbyggingu</w:t>
            </w:r>
            <w:r w:rsidR="008B1D2A">
              <w:rPr>
                <w:noProof/>
                <w:webHidden/>
              </w:rPr>
              <w:tab/>
            </w:r>
            <w:r w:rsidR="008B1D2A">
              <w:rPr>
                <w:noProof/>
                <w:webHidden/>
              </w:rPr>
              <w:fldChar w:fldCharType="begin"/>
            </w:r>
            <w:r w:rsidR="008B1D2A">
              <w:rPr>
                <w:noProof/>
                <w:webHidden/>
              </w:rPr>
              <w:instrText xml:space="preserve"> PAGEREF _Toc533158882 \h </w:instrText>
            </w:r>
            <w:r w:rsidR="008B1D2A">
              <w:rPr>
                <w:noProof/>
                <w:webHidden/>
              </w:rPr>
            </w:r>
            <w:r w:rsidR="008B1D2A">
              <w:rPr>
                <w:noProof/>
                <w:webHidden/>
              </w:rPr>
              <w:fldChar w:fldCharType="separate"/>
            </w:r>
            <w:r w:rsidR="008B1D2A">
              <w:rPr>
                <w:noProof/>
                <w:webHidden/>
              </w:rPr>
              <w:t>4</w:t>
            </w:r>
            <w:r w:rsidR="008B1D2A">
              <w:rPr>
                <w:noProof/>
                <w:webHidden/>
              </w:rPr>
              <w:fldChar w:fldCharType="end"/>
            </w:r>
          </w:hyperlink>
        </w:p>
        <w:p w14:paraId="33E5787C" w14:textId="77777777" w:rsidR="008B0DB0" w:rsidRDefault="008B0DB0">
          <w:r>
            <w:rPr>
              <w:b/>
              <w:bCs/>
              <w:noProof/>
            </w:rPr>
            <w:fldChar w:fldCharType="end"/>
          </w:r>
        </w:p>
      </w:sdtContent>
    </w:sdt>
    <w:p w14:paraId="33E5787D" w14:textId="77777777" w:rsidR="008B0DB0" w:rsidRDefault="008B0DB0" w:rsidP="002026BC">
      <w:pPr>
        <w:pStyle w:val="Kaflafyrirsagnir"/>
      </w:pPr>
    </w:p>
    <w:p w14:paraId="33E5787E" w14:textId="77777777" w:rsidR="001A4384" w:rsidRPr="00687B4F" w:rsidRDefault="001A4384" w:rsidP="001A4384">
      <w:pPr>
        <w:keepNext/>
        <w:keepLines/>
        <w:tabs>
          <w:tab w:val="left" w:pos="567"/>
        </w:tabs>
        <w:spacing w:before="170" w:after="57"/>
        <w:ind w:left="709" w:right="40" w:hanging="709"/>
        <w:jc w:val="both"/>
        <w:outlineLvl w:val="0"/>
        <w:rPr>
          <w:rFonts w:ascii="Times" w:hAnsi="Times" w:cs="Arial"/>
          <w:b/>
          <w:bCs/>
          <w:noProof/>
          <w:kern w:val="32"/>
          <w:szCs w:val="32"/>
          <w:lang w:eastAsia="is-IS"/>
        </w:rPr>
      </w:pPr>
      <w:bookmarkStart w:id="1" w:name="_Toc533158878"/>
      <w:bookmarkEnd w:id="0"/>
      <w:r>
        <w:rPr>
          <w:rFonts w:ascii="Times" w:hAnsi="Times" w:cs="Arial"/>
          <w:b/>
          <w:bCs/>
          <w:noProof/>
          <w:kern w:val="32"/>
          <w:szCs w:val="32"/>
          <w:lang w:eastAsia="is-IS"/>
        </w:rPr>
        <w:t xml:space="preserve">Slakbent járnalögn </w:t>
      </w:r>
      <w:r w:rsidRPr="00687B4F">
        <w:rPr>
          <w:rFonts w:ascii="Times" w:hAnsi="Times" w:cs="Arial"/>
          <w:b/>
          <w:bCs/>
          <w:noProof/>
          <w:kern w:val="32"/>
          <w:szCs w:val="32"/>
          <w:lang w:eastAsia="is-IS"/>
        </w:rPr>
        <w:t>- Almenn lýsing</w:t>
      </w:r>
      <w:bookmarkEnd w:id="1"/>
    </w:p>
    <w:p w14:paraId="33E5787F" w14:textId="77777777" w:rsidR="001A4384" w:rsidRPr="00B10640" w:rsidRDefault="001A4384" w:rsidP="001A4384">
      <w:pPr>
        <w:numPr>
          <w:ilvl w:val="0"/>
          <w:numId w:val="4"/>
        </w:numPr>
        <w:ind w:left="567" w:hanging="578"/>
        <w:rPr>
          <w:b/>
          <w:bCs/>
          <w:iCs/>
          <w:szCs w:val="26"/>
        </w:rPr>
      </w:pPr>
      <w:r w:rsidRPr="00B10640">
        <w:rPr>
          <w:b/>
          <w:bCs/>
          <w:iCs/>
          <w:szCs w:val="26"/>
        </w:rPr>
        <w:t>Verksvið</w:t>
      </w:r>
    </w:p>
    <w:p w14:paraId="33E57880" w14:textId="77777777" w:rsidR="001A4384" w:rsidRPr="00B10640" w:rsidRDefault="001A4384" w:rsidP="001A4384">
      <w:pPr>
        <w:ind w:left="567"/>
        <w:rPr>
          <w:szCs w:val="24"/>
        </w:rPr>
      </w:pPr>
      <w:r w:rsidRPr="00B10640">
        <w:rPr>
          <w:szCs w:val="24"/>
        </w:rPr>
        <w:t xml:space="preserve">Verksviðið er </w:t>
      </w:r>
      <w:proofErr w:type="spellStart"/>
      <w:r w:rsidRPr="00B10640">
        <w:rPr>
          <w:szCs w:val="24"/>
        </w:rPr>
        <w:t>slakbundin</w:t>
      </w:r>
      <w:proofErr w:type="spellEnd"/>
      <w:r w:rsidRPr="00B10640">
        <w:rPr>
          <w:szCs w:val="24"/>
        </w:rPr>
        <w:t xml:space="preserve"> járnalögn. Innifalinn er allur kostnaður, efni, vinna og flutningur efnis vegna </w:t>
      </w:r>
      <w:proofErr w:type="spellStart"/>
      <w:r w:rsidRPr="00B10640">
        <w:rPr>
          <w:szCs w:val="24"/>
        </w:rPr>
        <w:t>slakbentrar</w:t>
      </w:r>
      <w:proofErr w:type="spellEnd"/>
      <w:r w:rsidRPr="00B10640">
        <w:rPr>
          <w:szCs w:val="24"/>
        </w:rPr>
        <w:t xml:space="preserve"> járnalagnar, þ.m.t. beyging, lögn, stólun, </w:t>
      </w:r>
      <w:proofErr w:type="spellStart"/>
      <w:r w:rsidRPr="00B10640">
        <w:rPr>
          <w:szCs w:val="24"/>
        </w:rPr>
        <w:t>fjarlægðarklossar</w:t>
      </w:r>
      <w:proofErr w:type="spellEnd"/>
      <w:r w:rsidR="00E65154">
        <w:rPr>
          <w:szCs w:val="24"/>
        </w:rPr>
        <w:t xml:space="preserve"> og</w:t>
      </w:r>
      <w:r w:rsidRPr="00B10640">
        <w:rPr>
          <w:szCs w:val="24"/>
        </w:rPr>
        <w:t xml:space="preserve"> bindivír.</w:t>
      </w:r>
    </w:p>
    <w:p w14:paraId="33E57881" w14:textId="77777777" w:rsidR="001A4384" w:rsidRPr="00B10640" w:rsidRDefault="001A4384" w:rsidP="001A4384">
      <w:pPr>
        <w:numPr>
          <w:ilvl w:val="0"/>
          <w:numId w:val="4"/>
        </w:numPr>
        <w:ind w:left="567" w:hanging="567"/>
        <w:rPr>
          <w:b/>
          <w:bCs/>
          <w:iCs/>
          <w:szCs w:val="26"/>
        </w:rPr>
      </w:pPr>
      <w:r w:rsidRPr="00B10640">
        <w:rPr>
          <w:b/>
          <w:bCs/>
          <w:iCs/>
          <w:szCs w:val="26"/>
        </w:rPr>
        <w:t>Efniskröfur</w:t>
      </w:r>
    </w:p>
    <w:p w14:paraId="33E57882" w14:textId="77777777" w:rsidR="001A4384" w:rsidRPr="00B10640" w:rsidRDefault="001A4384" w:rsidP="001A4384">
      <w:pPr>
        <w:spacing w:before="85" w:after="85"/>
        <w:ind w:left="567"/>
        <w:jc w:val="both"/>
        <w:rPr>
          <w:noProof/>
          <w:szCs w:val="24"/>
        </w:rPr>
      </w:pPr>
      <w:r w:rsidRPr="00B10640">
        <w:rPr>
          <w:noProof/>
          <w:szCs w:val="24"/>
        </w:rPr>
        <w:t>Allt steypustyrktarjárn skal vera kambstál B500NC</w:t>
      </w:r>
      <w:r w:rsidR="007C304F">
        <w:rPr>
          <w:noProof/>
          <w:szCs w:val="24"/>
        </w:rPr>
        <w:t>,</w:t>
      </w:r>
      <w:r w:rsidRPr="00B10640">
        <w:rPr>
          <w:noProof/>
          <w:szCs w:val="24"/>
        </w:rPr>
        <w:t xml:space="preserve"> samkvæmt ÍST EN 10080 og ÍST NS 3576-3.</w:t>
      </w:r>
    </w:p>
    <w:p w14:paraId="33E57883" w14:textId="77777777" w:rsidR="001A4384" w:rsidRPr="00B10640" w:rsidRDefault="001A4384" w:rsidP="001A4384">
      <w:pPr>
        <w:spacing w:line="240" w:lineRule="atLeast"/>
        <w:ind w:left="567"/>
        <w:jc w:val="both"/>
        <w:rPr>
          <w:szCs w:val="24"/>
        </w:rPr>
      </w:pPr>
      <w:r w:rsidRPr="00B10640">
        <w:rPr>
          <w:szCs w:val="24"/>
        </w:rPr>
        <w:t xml:space="preserve">Leggja skal fram framleiðsluvottorð fyrir </w:t>
      </w:r>
      <w:proofErr w:type="spellStart"/>
      <w:r w:rsidRPr="00B10640">
        <w:rPr>
          <w:szCs w:val="24"/>
        </w:rPr>
        <w:t>steypustyrktarjárn</w:t>
      </w:r>
      <w:proofErr w:type="spellEnd"/>
      <w:r w:rsidRPr="00B10640">
        <w:rPr>
          <w:szCs w:val="24"/>
        </w:rPr>
        <w:t>.</w:t>
      </w:r>
    </w:p>
    <w:p w14:paraId="33E57884" w14:textId="77777777" w:rsidR="001A4384" w:rsidRPr="00B10640" w:rsidRDefault="001A4384" w:rsidP="001A4384">
      <w:pPr>
        <w:numPr>
          <w:ilvl w:val="0"/>
          <w:numId w:val="4"/>
        </w:numPr>
        <w:ind w:left="567" w:hanging="567"/>
        <w:rPr>
          <w:b/>
          <w:bCs/>
          <w:iCs/>
          <w:szCs w:val="26"/>
        </w:rPr>
      </w:pPr>
      <w:r w:rsidRPr="00B10640">
        <w:rPr>
          <w:b/>
          <w:bCs/>
          <w:iCs/>
          <w:szCs w:val="26"/>
        </w:rPr>
        <w:t>Vinnugæði</w:t>
      </w:r>
    </w:p>
    <w:p w14:paraId="33E57885" w14:textId="77777777" w:rsidR="00EF665D" w:rsidRDefault="001A4384" w:rsidP="001A4384">
      <w:pPr>
        <w:spacing w:before="85" w:after="85"/>
        <w:ind w:left="567"/>
        <w:jc w:val="both"/>
        <w:rPr>
          <w:noProof/>
          <w:szCs w:val="24"/>
        </w:rPr>
      </w:pPr>
      <w:r w:rsidRPr="00B10640">
        <w:rPr>
          <w:noProof/>
          <w:szCs w:val="24"/>
        </w:rPr>
        <w:t xml:space="preserve">Um alla vinnu við járnalögn gildir ÍST EN 13670 og skal fylgja leiðbeiningum um járnalögn í viðauka D. </w:t>
      </w:r>
    </w:p>
    <w:p w14:paraId="33E57886" w14:textId="77777777" w:rsidR="001A4384" w:rsidRPr="00B10640" w:rsidRDefault="00EF665D" w:rsidP="001A4384">
      <w:pPr>
        <w:spacing w:before="85" w:after="85"/>
        <w:ind w:left="567"/>
        <w:jc w:val="both"/>
        <w:rPr>
          <w:noProof/>
          <w:szCs w:val="24"/>
        </w:rPr>
      </w:pPr>
      <w:r>
        <w:rPr>
          <w:noProof/>
          <w:szCs w:val="24"/>
        </w:rPr>
        <w:t>Sé ekki annað tilgreint í verklýsingu skal v</w:t>
      </w:r>
      <w:r w:rsidR="001A4384" w:rsidRPr="00B10640">
        <w:rPr>
          <w:noProof/>
          <w:szCs w:val="24"/>
        </w:rPr>
        <w:t>inna við járnalögn vera í framkvæmda</w:t>
      </w:r>
      <w:r w:rsidR="007C304F">
        <w:rPr>
          <w:noProof/>
          <w:szCs w:val="24"/>
        </w:rPr>
        <w:t>r</w:t>
      </w:r>
      <w:r w:rsidR="001A4384" w:rsidRPr="00B10640">
        <w:rPr>
          <w:noProof/>
          <w:szCs w:val="24"/>
        </w:rPr>
        <w:t xml:space="preserve">flokki 3. </w:t>
      </w:r>
    </w:p>
    <w:p w14:paraId="33E57887" w14:textId="77777777" w:rsidR="001A4384" w:rsidRPr="00B10640" w:rsidRDefault="001A4384" w:rsidP="001A4384">
      <w:pPr>
        <w:spacing w:before="85" w:after="85"/>
        <w:ind w:left="567"/>
        <w:jc w:val="both"/>
        <w:rPr>
          <w:b/>
          <w:noProof/>
          <w:szCs w:val="24"/>
          <w:lang w:val="nn-NO"/>
        </w:rPr>
      </w:pPr>
      <w:r w:rsidRPr="00B10640">
        <w:rPr>
          <w:noProof/>
          <w:szCs w:val="24"/>
          <w:lang w:val="nn-NO"/>
        </w:rPr>
        <w:t>Járnalögn skal vera að fullu frágengin og samþykkt af eftirliti áður en steypuvinna hefst.</w:t>
      </w:r>
    </w:p>
    <w:p w14:paraId="33E57888" w14:textId="77777777" w:rsidR="001A4384" w:rsidRPr="00B10640" w:rsidRDefault="001A4384" w:rsidP="001A4384">
      <w:pPr>
        <w:spacing w:before="85" w:after="85"/>
        <w:ind w:left="567"/>
        <w:jc w:val="both"/>
        <w:rPr>
          <w:noProof/>
          <w:szCs w:val="24"/>
          <w:lang w:val="nn-NO"/>
        </w:rPr>
      </w:pPr>
      <w:r w:rsidRPr="00B10640">
        <w:rPr>
          <w:noProof/>
          <w:szCs w:val="24"/>
          <w:lang w:val="nn-NO"/>
        </w:rPr>
        <w:t xml:space="preserve">Járnagrind skal binda þannig að hún myndi stífa heild. </w:t>
      </w:r>
    </w:p>
    <w:p w14:paraId="33E57889" w14:textId="77777777" w:rsidR="001A4384" w:rsidRPr="00B10640" w:rsidRDefault="001A4384" w:rsidP="001A4384">
      <w:pPr>
        <w:spacing w:before="85" w:after="85"/>
        <w:ind w:left="567"/>
        <w:jc w:val="both"/>
        <w:rPr>
          <w:noProof/>
          <w:szCs w:val="24"/>
          <w:lang w:val="nn-NO"/>
        </w:rPr>
      </w:pPr>
      <w:r w:rsidRPr="00B10640">
        <w:rPr>
          <w:noProof/>
          <w:szCs w:val="24"/>
          <w:lang w:val="nn-NO"/>
        </w:rPr>
        <w:t>Bindivír skal snúa um önnur til þriðju hver samskeyti og endar hans vís</w:t>
      </w:r>
      <w:r w:rsidR="007C304F">
        <w:rPr>
          <w:noProof/>
          <w:szCs w:val="24"/>
          <w:lang w:val="nn-NO"/>
        </w:rPr>
        <w:t>a</w:t>
      </w:r>
      <w:r w:rsidRPr="00B10640">
        <w:rPr>
          <w:noProof/>
          <w:szCs w:val="24"/>
          <w:lang w:val="nn-NO"/>
        </w:rPr>
        <w:t xml:space="preserve"> inn í grindina. </w:t>
      </w:r>
    </w:p>
    <w:p w14:paraId="33E5788A" w14:textId="77777777" w:rsidR="001A4384" w:rsidRPr="00B10640" w:rsidRDefault="001A4384" w:rsidP="001A4384">
      <w:pPr>
        <w:spacing w:after="60" w:line="240" w:lineRule="atLeast"/>
        <w:ind w:left="567"/>
        <w:jc w:val="both"/>
        <w:rPr>
          <w:szCs w:val="24"/>
        </w:rPr>
      </w:pPr>
      <w:r w:rsidRPr="00B10640">
        <w:rPr>
          <w:szCs w:val="24"/>
        </w:rPr>
        <w:t>Skeytilengdir:</w:t>
      </w:r>
      <w:r w:rsidRPr="00B10640">
        <w:rPr>
          <w:szCs w:val="24"/>
        </w:rPr>
        <w:tab/>
        <w:t xml:space="preserve">50ø ef </w:t>
      </w:r>
      <w:proofErr w:type="spellStart"/>
      <w:r w:rsidRPr="00B10640">
        <w:rPr>
          <w:szCs w:val="24"/>
        </w:rPr>
        <w:t>skeyting</w:t>
      </w:r>
      <w:proofErr w:type="spellEnd"/>
      <w:r w:rsidRPr="00B10640">
        <w:rPr>
          <w:szCs w:val="24"/>
        </w:rPr>
        <w:t xml:space="preserve"> í sniði er minni en 25 % </w:t>
      </w:r>
    </w:p>
    <w:p w14:paraId="33E5788B" w14:textId="77777777" w:rsidR="001A4384" w:rsidRPr="00B10640" w:rsidRDefault="001A4384" w:rsidP="001A4384">
      <w:pPr>
        <w:spacing w:after="60" w:line="240" w:lineRule="atLeast"/>
        <w:ind w:left="567"/>
        <w:jc w:val="both"/>
        <w:rPr>
          <w:szCs w:val="24"/>
        </w:rPr>
      </w:pPr>
      <w:r w:rsidRPr="00B10640">
        <w:rPr>
          <w:szCs w:val="24"/>
        </w:rPr>
        <w:tab/>
      </w:r>
      <w:r w:rsidRPr="00B10640">
        <w:rPr>
          <w:szCs w:val="24"/>
        </w:rPr>
        <w:tab/>
      </w:r>
      <w:r w:rsidRPr="00B10640">
        <w:rPr>
          <w:szCs w:val="24"/>
        </w:rPr>
        <w:tab/>
        <w:t xml:space="preserve">60ø ef </w:t>
      </w:r>
      <w:proofErr w:type="spellStart"/>
      <w:r w:rsidRPr="00B10640">
        <w:rPr>
          <w:szCs w:val="24"/>
        </w:rPr>
        <w:t>skeyting</w:t>
      </w:r>
      <w:proofErr w:type="spellEnd"/>
      <w:r w:rsidRPr="00B10640">
        <w:rPr>
          <w:szCs w:val="24"/>
        </w:rPr>
        <w:t xml:space="preserve"> í sniði er 33 % </w:t>
      </w:r>
    </w:p>
    <w:p w14:paraId="33E5788C" w14:textId="77777777" w:rsidR="001A4384" w:rsidRPr="00B10640" w:rsidRDefault="001A4384" w:rsidP="001A4384">
      <w:pPr>
        <w:spacing w:after="60" w:line="240" w:lineRule="atLeast"/>
        <w:ind w:left="567"/>
        <w:jc w:val="both"/>
        <w:rPr>
          <w:szCs w:val="24"/>
        </w:rPr>
      </w:pPr>
      <w:r w:rsidRPr="00B10640">
        <w:rPr>
          <w:szCs w:val="24"/>
        </w:rPr>
        <w:tab/>
      </w:r>
      <w:r w:rsidRPr="00B10640">
        <w:rPr>
          <w:szCs w:val="24"/>
        </w:rPr>
        <w:tab/>
      </w:r>
      <w:r w:rsidRPr="00B10640">
        <w:rPr>
          <w:szCs w:val="24"/>
        </w:rPr>
        <w:tab/>
        <w:t xml:space="preserve">70ø ef </w:t>
      </w:r>
      <w:proofErr w:type="spellStart"/>
      <w:r w:rsidRPr="00B10640">
        <w:rPr>
          <w:szCs w:val="24"/>
        </w:rPr>
        <w:t>skeyting</w:t>
      </w:r>
      <w:proofErr w:type="spellEnd"/>
      <w:r w:rsidRPr="00B10640">
        <w:rPr>
          <w:szCs w:val="24"/>
        </w:rPr>
        <w:t xml:space="preserve"> í sniði er 50 % </w:t>
      </w:r>
    </w:p>
    <w:p w14:paraId="33E5788D" w14:textId="77777777" w:rsidR="001A4384" w:rsidRPr="00B10640" w:rsidRDefault="001A4384" w:rsidP="001A4384">
      <w:pPr>
        <w:spacing w:after="60" w:line="240" w:lineRule="atLeast"/>
        <w:ind w:left="567"/>
        <w:jc w:val="both"/>
        <w:rPr>
          <w:szCs w:val="24"/>
        </w:rPr>
      </w:pPr>
      <w:r w:rsidRPr="00B10640">
        <w:rPr>
          <w:szCs w:val="24"/>
        </w:rPr>
        <w:tab/>
      </w:r>
      <w:r w:rsidRPr="00B10640">
        <w:rPr>
          <w:szCs w:val="24"/>
        </w:rPr>
        <w:tab/>
      </w:r>
      <w:r w:rsidRPr="00B10640">
        <w:rPr>
          <w:szCs w:val="24"/>
        </w:rPr>
        <w:tab/>
        <w:t xml:space="preserve">75ø ef </w:t>
      </w:r>
      <w:proofErr w:type="spellStart"/>
      <w:r w:rsidRPr="00B10640">
        <w:rPr>
          <w:szCs w:val="24"/>
        </w:rPr>
        <w:t>skeyting</w:t>
      </w:r>
      <w:proofErr w:type="spellEnd"/>
      <w:r w:rsidRPr="00B10640">
        <w:rPr>
          <w:szCs w:val="24"/>
        </w:rPr>
        <w:t xml:space="preserve"> í sniði er meiri en 50 % </w:t>
      </w:r>
    </w:p>
    <w:p w14:paraId="33E5788E" w14:textId="77777777" w:rsidR="001A4384" w:rsidRPr="00B10640" w:rsidRDefault="001A4384" w:rsidP="001A4384">
      <w:pPr>
        <w:spacing w:after="60" w:line="240" w:lineRule="atLeast"/>
        <w:ind w:left="567"/>
        <w:jc w:val="both"/>
        <w:rPr>
          <w:szCs w:val="24"/>
        </w:rPr>
      </w:pPr>
      <w:r w:rsidRPr="00B10640">
        <w:rPr>
          <w:szCs w:val="24"/>
        </w:rPr>
        <w:t xml:space="preserve">þar sem ø er þvermál stangar. </w:t>
      </w:r>
    </w:p>
    <w:p w14:paraId="33E5788F" w14:textId="77777777" w:rsidR="001A4384" w:rsidRPr="00B10640" w:rsidRDefault="001A4384" w:rsidP="001A4384">
      <w:pPr>
        <w:spacing w:line="240" w:lineRule="atLeast"/>
        <w:ind w:left="567"/>
        <w:jc w:val="both"/>
        <w:rPr>
          <w:szCs w:val="24"/>
        </w:rPr>
      </w:pPr>
      <w:r w:rsidRPr="00B10640">
        <w:rPr>
          <w:szCs w:val="24"/>
        </w:rPr>
        <w:t>Miðað er við að skeytum sé dreift</w:t>
      </w:r>
      <w:r w:rsidR="007C304F">
        <w:rPr>
          <w:szCs w:val="24"/>
        </w:rPr>
        <w:t>,</w:t>
      </w:r>
      <w:r w:rsidRPr="00B10640">
        <w:rPr>
          <w:szCs w:val="24"/>
        </w:rPr>
        <w:t xml:space="preserve"> að innan við þriðjungur skeyta sé skeyttur í sama sniði. Ef rök mæla með öðru fyrirkomulagi má verktaki leggja annað </w:t>
      </w:r>
      <w:r w:rsidR="007C304F">
        <w:rPr>
          <w:szCs w:val="24"/>
        </w:rPr>
        <w:t>til</w:t>
      </w:r>
      <w:r w:rsidRPr="00B10640">
        <w:rPr>
          <w:szCs w:val="24"/>
        </w:rPr>
        <w:t xml:space="preserve"> fyrir eftirlit til skoðunar.</w:t>
      </w:r>
    </w:p>
    <w:p w14:paraId="33E57890" w14:textId="77777777" w:rsidR="001A4384" w:rsidRPr="00B10640" w:rsidRDefault="001A4384" w:rsidP="001A4384">
      <w:pPr>
        <w:spacing w:before="85" w:after="85"/>
        <w:ind w:left="567"/>
        <w:jc w:val="both"/>
        <w:rPr>
          <w:noProof/>
          <w:szCs w:val="24"/>
          <w:lang w:val="nn-NO"/>
        </w:rPr>
      </w:pPr>
      <w:r w:rsidRPr="00B10640">
        <w:rPr>
          <w:noProof/>
          <w:szCs w:val="24"/>
          <w:lang w:val="nn-NO"/>
        </w:rPr>
        <w:t>Tryggja skal rétta legu járnagrindar í mótum með stólum eða fjarlægðarklossum</w:t>
      </w:r>
      <w:r w:rsidR="007C304F">
        <w:rPr>
          <w:noProof/>
          <w:szCs w:val="24"/>
          <w:lang w:val="nn-NO"/>
        </w:rPr>
        <w:t>,</w:t>
      </w:r>
      <w:r w:rsidRPr="00B10640">
        <w:rPr>
          <w:noProof/>
          <w:szCs w:val="24"/>
          <w:lang w:val="nn-NO"/>
        </w:rPr>
        <w:t xml:space="preserve"> sem festa skal tryggilega við hana. </w:t>
      </w:r>
    </w:p>
    <w:p w14:paraId="33E57891" w14:textId="77777777" w:rsidR="001A4384" w:rsidRPr="00B10640" w:rsidRDefault="001A4384" w:rsidP="001A4384">
      <w:pPr>
        <w:spacing w:before="85" w:after="85"/>
        <w:ind w:left="567"/>
        <w:jc w:val="both"/>
        <w:rPr>
          <w:noProof/>
          <w:szCs w:val="24"/>
          <w:lang w:val="nn-NO"/>
        </w:rPr>
      </w:pPr>
      <w:r w:rsidRPr="00B10640">
        <w:rPr>
          <w:noProof/>
          <w:szCs w:val="24"/>
          <w:lang w:val="nn-NO"/>
        </w:rPr>
        <w:t xml:space="preserve">Stólun járnagrindar skal ekki vera minni en gefið er upp hér á eftir: </w:t>
      </w:r>
    </w:p>
    <w:p w14:paraId="33E57892" w14:textId="77777777" w:rsidR="001A4384" w:rsidRPr="00B10640" w:rsidRDefault="001A4384" w:rsidP="001A4384">
      <w:pPr>
        <w:spacing w:before="85" w:after="85"/>
        <w:ind w:left="567"/>
        <w:jc w:val="both"/>
        <w:rPr>
          <w:b/>
          <w:noProof/>
          <w:szCs w:val="24"/>
          <w:lang w:val="nn-NO"/>
        </w:rPr>
      </w:pPr>
      <w:r w:rsidRPr="00B10640">
        <w:rPr>
          <w:b/>
          <w:noProof/>
          <w:szCs w:val="24"/>
          <w:lang w:val="nn-NO"/>
        </w:rPr>
        <w:t>Plötur:</w:t>
      </w:r>
    </w:p>
    <w:p w14:paraId="33E57893" w14:textId="77777777" w:rsidR="001A4384" w:rsidRPr="00B10640" w:rsidRDefault="001A4384" w:rsidP="001A4384">
      <w:pPr>
        <w:tabs>
          <w:tab w:val="center" w:pos="2013"/>
          <w:tab w:val="center" w:pos="3657"/>
          <w:tab w:val="center" w:pos="4054"/>
        </w:tabs>
        <w:ind w:left="993" w:right="17"/>
        <w:rPr>
          <w:szCs w:val="24"/>
          <w:lang w:eastAsia="is-IS"/>
        </w:rPr>
      </w:pPr>
      <w:r w:rsidRPr="00B10640">
        <w:rPr>
          <w:szCs w:val="24"/>
          <w:lang w:eastAsia="is-IS"/>
        </w:rPr>
        <w:lastRenderedPageBreak/>
        <w:t>Þvermál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Neðri grind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Efri grind</w:t>
      </w:r>
      <w:r w:rsidRPr="00B10640">
        <w:rPr>
          <w:szCs w:val="24"/>
          <w:lang w:eastAsia="is-IS"/>
        </w:rPr>
        <w:tab/>
      </w:r>
    </w:p>
    <w:p w14:paraId="33E57894" w14:textId="77777777" w:rsidR="001A4384" w:rsidRPr="00B10640" w:rsidRDefault="001A4384" w:rsidP="001A4384">
      <w:pPr>
        <w:tabs>
          <w:tab w:val="center" w:pos="2013"/>
          <w:tab w:val="center" w:pos="3657"/>
          <w:tab w:val="center" w:pos="4054"/>
        </w:tabs>
        <w:ind w:left="993" w:right="17"/>
        <w:rPr>
          <w:szCs w:val="24"/>
          <w:lang w:eastAsia="is-IS"/>
        </w:rPr>
      </w:pPr>
      <w:r w:rsidRPr="00B10640">
        <w:rPr>
          <w:szCs w:val="24"/>
          <w:lang w:eastAsia="is-IS"/>
        </w:rPr>
        <w:t>stólajárna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proofErr w:type="spellStart"/>
      <w:r w:rsidRPr="00B10640">
        <w:rPr>
          <w:szCs w:val="24"/>
          <w:lang w:eastAsia="is-IS"/>
        </w:rPr>
        <w:t>stk</w:t>
      </w:r>
      <w:proofErr w:type="spellEnd"/>
      <w:r w:rsidRPr="00B10640">
        <w:rPr>
          <w:szCs w:val="24"/>
          <w:lang w:eastAsia="is-IS"/>
        </w:rPr>
        <w:t>/m</w:t>
      </w:r>
      <w:r w:rsidRPr="00B10640">
        <w:rPr>
          <w:position w:val="4"/>
          <w:szCs w:val="24"/>
          <w:lang w:eastAsia="is-IS"/>
        </w:rPr>
        <w:t>2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Minnsta fjarlægð milli</w:t>
      </w:r>
    </w:p>
    <w:p w14:paraId="33E57895" w14:textId="77777777" w:rsidR="001A4384" w:rsidRPr="00B10640" w:rsidRDefault="001A4384" w:rsidP="001A4384">
      <w:pPr>
        <w:tabs>
          <w:tab w:val="center" w:pos="1871"/>
          <w:tab w:val="center" w:pos="3657"/>
          <w:tab w:val="center" w:pos="4054"/>
        </w:tabs>
        <w:ind w:left="993" w:right="17"/>
        <w:rPr>
          <w:szCs w:val="24"/>
          <w:lang w:eastAsia="is-IS"/>
        </w:rPr>
      </w:pPr>
      <w:r w:rsidRPr="00B10640">
        <w:rPr>
          <w:szCs w:val="24"/>
          <w:lang w:eastAsia="is-IS"/>
        </w:rPr>
        <w:t>mm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 xml:space="preserve"> burðarjárna </w:t>
      </w:r>
    </w:p>
    <w:p w14:paraId="33E57896" w14:textId="77777777" w:rsidR="001A4384" w:rsidRPr="00B10640" w:rsidRDefault="001A4384" w:rsidP="001A4384">
      <w:pPr>
        <w:tabs>
          <w:tab w:val="center" w:pos="2013"/>
          <w:tab w:val="center" w:pos="2778"/>
          <w:tab w:val="center" w:pos="3118"/>
          <w:tab w:val="center" w:pos="3509"/>
          <w:tab w:val="center" w:pos="3969"/>
        </w:tabs>
        <w:ind w:left="993" w:right="17"/>
        <w:jc w:val="both"/>
        <w:rPr>
          <w:position w:val="4"/>
          <w:szCs w:val="24"/>
          <w:lang w:eastAsia="is-IS"/>
        </w:rPr>
      </w:pPr>
      <w:r w:rsidRPr="00B10640">
        <w:rPr>
          <w:szCs w:val="24"/>
          <w:lang w:eastAsia="is-IS"/>
        </w:rPr>
        <w:t>8-12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4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0,7 m</w:t>
      </w:r>
      <w:r w:rsidRPr="00B10640">
        <w:rPr>
          <w:szCs w:val="24"/>
          <w:lang w:eastAsia="is-IS"/>
        </w:rPr>
        <w:tab/>
        <w:t>eða</w:t>
      </w:r>
      <w:r w:rsidRPr="00B10640">
        <w:rPr>
          <w:szCs w:val="24"/>
          <w:lang w:eastAsia="is-IS"/>
        </w:rPr>
        <w:tab/>
        <w:t>4 stk</w:t>
      </w:r>
      <w:r w:rsidR="00EF665D">
        <w:rPr>
          <w:szCs w:val="24"/>
          <w:lang w:eastAsia="is-IS"/>
        </w:rPr>
        <w:t>.</w:t>
      </w:r>
      <w:r w:rsidRPr="00B10640">
        <w:rPr>
          <w:szCs w:val="24"/>
          <w:lang w:eastAsia="is-IS"/>
        </w:rPr>
        <w:t>/m</w:t>
      </w:r>
      <w:r w:rsidRPr="00B10640">
        <w:rPr>
          <w:position w:val="4"/>
          <w:szCs w:val="24"/>
          <w:lang w:eastAsia="is-IS"/>
        </w:rPr>
        <w:t>2</w:t>
      </w:r>
    </w:p>
    <w:p w14:paraId="33E57897" w14:textId="77777777" w:rsidR="001A4384" w:rsidRPr="00B10640" w:rsidRDefault="001A4384" w:rsidP="001A4384">
      <w:pPr>
        <w:tabs>
          <w:tab w:val="center" w:pos="2013"/>
          <w:tab w:val="center" w:pos="2778"/>
          <w:tab w:val="center" w:pos="3118"/>
          <w:tab w:val="center" w:pos="3509"/>
          <w:tab w:val="center" w:pos="3969"/>
        </w:tabs>
        <w:ind w:left="993" w:right="17"/>
        <w:jc w:val="both"/>
        <w:rPr>
          <w:position w:val="4"/>
          <w:szCs w:val="24"/>
          <w:lang w:eastAsia="is-IS"/>
        </w:rPr>
      </w:pPr>
      <w:r w:rsidRPr="00B10640">
        <w:rPr>
          <w:szCs w:val="24"/>
          <w:lang w:eastAsia="is-IS"/>
        </w:rPr>
        <w:t>16-25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2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1,0 m</w:t>
      </w:r>
      <w:r w:rsidRPr="00B10640">
        <w:rPr>
          <w:szCs w:val="24"/>
          <w:lang w:eastAsia="is-IS"/>
        </w:rPr>
        <w:tab/>
        <w:t>eða</w:t>
      </w:r>
      <w:r w:rsidRPr="00B10640">
        <w:rPr>
          <w:szCs w:val="24"/>
          <w:lang w:eastAsia="is-IS"/>
        </w:rPr>
        <w:tab/>
        <w:t>2 stk</w:t>
      </w:r>
      <w:r w:rsidR="00EF665D">
        <w:rPr>
          <w:szCs w:val="24"/>
          <w:lang w:eastAsia="is-IS"/>
        </w:rPr>
        <w:t>.</w:t>
      </w:r>
      <w:r w:rsidRPr="00B10640">
        <w:rPr>
          <w:szCs w:val="24"/>
          <w:lang w:eastAsia="is-IS"/>
        </w:rPr>
        <w:t>/m</w:t>
      </w:r>
      <w:r w:rsidRPr="00B10640">
        <w:rPr>
          <w:position w:val="4"/>
          <w:szCs w:val="24"/>
          <w:lang w:eastAsia="is-IS"/>
        </w:rPr>
        <w:t>2</w:t>
      </w:r>
      <w:r w:rsidRPr="00B10640">
        <w:rPr>
          <w:position w:val="4"/>
          <w:szCs w:val="24"/>
          <w:lang w:eastAsia="is-IS"/>
        </w:rPr>
        <w:cr/>
      </w:r>
    </w:p>
    <w:p w14:paraId="33E57898" w14:textId="77777777" w:rsidR="001A4384" w:rsidRPr="00B10640" w:rsidRDefault="001A4384" w:rsidP="001A4384">
      <w:pPr>
        <w:tabs>
          <w:tab w:val="center" w:pos="3458"/>
        </w:tabs>
        <w:spacing w:before="56" w:after="85"/>
        <w:ind w:left="567"/>
        <w:jc w:val="both"/>
        <w:rPr>
          <w:b/>
          <w:noProof/>
          <w:szCs w:val="24"/>
          <w:lang w:val="nn-NO"/>
        </w:rPr>
      </w:pPr>
      <w:r w:rsidRPr="00B10640">
        <w:rPr>
          <w:b/>
          <w:noProof/>
          <w:szCs w:val="24"/>
          <w:lang w:val="nn-NO"/>
        </w:rPr>
        <w:t>Bitarbotn og bitahliðar:</w:t>
      </w:r>
    </w:p>
    <w:p w14:paraId="33E57899" w14:textId="77777777" w:rsidR="001A4384" w:rsidRPr="00B10640" w:rsidRDefault="001A4384" w:rsidP="001A4384">
      <w:pPr>
        <w:tabs>
          <w:tab w:val="center" w:pos="2041"/>
          <w:tab w:val="center" w:pos="3685"/>
        </w:tabs>
        <w:ind w:left="993" w:right="17"/>
        <w:jc w:val="both"/>
        <w:rPr>
          <w:szCs w:val="24"/>
          <w:lang w:eastAsia="is-IS"/>
        </w:rPr>
      </w:pP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Í langátt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 xml:space="preserve">  Í þverátt</w:t>
      </w:r>
      <w:r w:rsidRPr="00B10640">
        <w:rPr>
          <w:szCs w:val="24"/>
          <w:lang w:eastAsia="is-IS"/>
        </w:rPr>
        <w:tab/>
      </w:r>
    </w:p>
    <w:p w14:paraId="33E5789A" w14:textId="77777777" w:rsidR="001A4384" w:rsidRPr="00B10640" w:rsidRDefault="001A4384" w:rsidP="001A4384">
      <w:pPr>
        <w:tabs>
          <w:tab w:val="center" w:pos="2041"/>
          <w:tab w:val="center" w:pos="3685"/>
        </w:tabs>
        <w:ind w:left="993" w:right="17"/>
        <w:jc w:val="both"/>
        <w:rPr>
          <w:szCs w:val="24"/>
          <w:lang w:eastAsia="is-IS"/>
        </w:rPr>
      </w:pPr>
      <w:r w:rsidRPr="00B10640">
        <w:rPr>
          <w:szCs w:val="24"/>
          <w:lang w:eastAsia="is-IS"/>
        </w:rPr>
        <w:t>Þvermál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Minnsta fjarlægð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 xml:space="preserve">Minnsta  fjarlægð </w:t>
      </w:r>
    </w:p>
    <w:p w14:paraId="33E5789B" w14:textId="77777777" w:rsidR="001A4384" w:rsidRPr="00B10640" w:rsidRDefault="001A4384" w:rsidP="001A4384">
      <w:pPr>
        <w:tabs>
          <w:tab w:val="center" w:pos="2041"/>
          <w:tab w:val="center" w:pos="3685"/>
        </w:tabs>
        <w:ind w:left="993" w:right="17"/>
        <w:jc w:val="both"/>
        <w:rPr>
          <w:szCs w:val="24"/>
          <w:lang w:eastAsia="is-IS"/>
        </w:rPr>
      </w:pPr>
      <w:r w:rsidRPr="00B10640">
        <w:rPr>
          <w:szCs w:val="24"/>
          <w:lang w:eastAsia="is-IS"/>
        </w:rPr>
        <w:t>burðarjárna</w:t>
      </w:r>
      <w:r w:rsidRPr="00B10640">
        <w:rPr>
          <w:szCs w:val="24"/>
          <w:lang w:eastAsia="is-IS"/>
        </w:rPr>
        <w:tab/>
        <w:t>milli stóla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mill</w:t>
      </w:r>
      <w:r w:rsidR="007C304F">
        <w:rPr>
          <w:szCs w:val="24"/>
          <w:lang w:eastAsia="is-IS"/>
        </w:rPr>
        <w:t>i</w:t>
      </w:r>
      <w:r w:rsidRPr="00B10640">
        <w:rPr>
          <w:szCs w:val="24"/>
          <w:lang w:eastAsia="is-IS"/>
        </w:rPr>
        <w:t xml:space="preserve"> stóla</w:t>
      </w:r>
      <w:r w:rsidRPr="00B10640">
        <w:rPr>
          <w:szCs w:val="24"/>
          <w:lang w:eastAsia="is-IS"/>
        </w:rPr>
        <w:tab/>
      </w:r>
    </w:p>
    <w:p w14:paraId="33E5789C" w14:textId="77777777" w:rsidR="001A4384" w:rsidRPr="00B10640" w:rsidRDefault="001A4384" w:rsidP="001A4384">
      <w:pPr>
        <w:tabs>
          <w:tab w:val="center" w:pos="2041"/>
          <w:tab w:val="center" w:pos="2778"/>
          <w:tab w:val="center" w:pos="3685"/>
        </w:tabs>
        <w:ind w:left="993" w:right="17"/>
        <w:jc w:val="both"/>
        <w:rPr>
          <w:szCs w:val="24"/>
          <w:lang w:eastAsia="is-IS"/>
        </w:rPr>
      </w:pPr>
      <w:r w:rsidRPr="00B10640">
        <w:rPr>
          <w:szCs w:val="24"/>
          <w:lang w:eastAsia="is-IS"/>
        </w:rPr>
        <w:t xml:space="preserve">   mm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m</w:t>
      </w:r>
    </w:p>
    <w:p w14:paraId="33E5789D" w14:textId="77777777" w:rsidR="001A4384" w:rsidRPr="00B10640" w:rsidRDefault="001A4384" w:rsidP="001A4384">
      <w:pPr>
        <w:tabs>
          <w:tab w:val="center" w:pos="2041"/>
          <w:tab w:val="center" w:pos="2778"/>
          <w:tab w:val="center" w:pos="3231"/>
          <w:tab w:val="center" w:pos="3628"/>
          <w:tab w:val="center" w:pos="4110"/>
        </w:tabs>
        <w:ind w:left="993" w:right="17"/>
        <w:jc w:val="both"/>
        <w:rPr>
          <w:position w:val="4"/>
          <w:szCs w:val="24"/>
          <w:lang w:eastAsia="is-IS"/>
        </w:rPr>
      </w:pPr>
      <w:r w:rsidRPr="00B10640">
        <w:rPr>
          <w:szCs w:val="24"/>
          <w:lang w:eastAsia="is-IS"/>
        </w:rPr>
        <w:t xml:space="preserve">  12-20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1,00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0,75 m eða 2 stk</w:t>
      </w:r>
      <w:r w:rsidR="00EF665D">
        <w:rPr>
          <w:szCs w:val="24"/>
          <w:lang w:eastAsia="is-IS"/>
        </w:rPr>
        <w:t>.</w:t>
      </w:r>
      <w:r w:rsidRPr="00B10640">
        <w:rPr>
          <w:szCs w:val="24"/>
          <w:lang w:eastAsia="is-IS"/>
        </w:rPr>
        <w:t>/m</w:t>
      </w:r>
      <w:r w:rsidRPr="00B10640">
        <w:rPr>
          <w:szCs w:val="24"/>
          <w:vertAlign w:val="superscript"/>
          <w:lang w:eastAsia="is-IS"/>
        </w:rPr>
        <w:t>2</w:t>
      </w:r>
    </w:p>
    <w:p w14:paraId="33E5789E" w14:textId="77777777" w:rsidR="001A4384" w:rsidRPr="00B10640" w:rsidRDefault="001A4384" w:rsidP="001A4384">
      <w:pPr>
        <w:tabs>
          <w:tab w:val="center" w:pos="2041"/>
          <w:tab w:val="center" w:pos="2778"/>
          <w:tab w:val="center" w:pos="3231"/>
          <w:tab w:val="center" w:pos="3628"/>
          <w:tab w:val="center" w:pos="4110"/>
        </w:tabs>
        <w:ind w:left="993" w:right="17"/>
        <w:jc w:val="both"/>
        <w:rPr>
          <w:position w:val="4"/>
          <w:szCs w:val="24"/>
          <w:lang w:eastAsia="is-IS"/>
        </w:rPr>
      </w:pPr>
      <w:r w:rsidRPr="00B10640">
        <w:rPr>
          <w:szCs w:val="24"/>
          <w:lang w:eastAsia="is-IS"/>
        </w:rPr>
        <w:t xml:space="preserve">  25-32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1,25</w:t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</w:r>
      <w:r w:rsidRPr="00B10640">
        <w:rPr>
          <w:szCs w:val="24"/>
          <w:lang w:eastAsia="is-IS"/>
        </w:rPr>
        <w:tab/>
        <w:t>0,75 m eða 2 stk</w:t>
      </w:r>
      <w:r w:rsidR="00EF665D">
        <w:rPr>
          <w:szCs w:val="24"/>
          <w:lang w:eastAsia="is-IS"/>
        </w:rPr>
        <w:t>.</w:t>
      </w:r>
      <w:r w:rsidRPr="00B10640">
        <w:rPr>
          <w:szCs w:val="24"/>
          <w:lang w:eastAsia="is-IS"/>
        </w:rPr>
        <w:t>/m</w:t>
      </w:r>
      <w:r w:rsidRPr="00B10640">
        <w:rPr>
          <w:szCs w:val="24"/>
          <w:vertAlign w:val="superscript"/>
          <w:lang w:eastAsia="is-IS"/>
        </w:rPr>
        <w:t>2</w:t>
      </w:r>
      <w:r w:rsidRPr="00B10640">
        <w:rPr>
          <w:position w:val="4"/>
          <w:szCs w:val="24"/>
          <w:lang w:eastAsia="is-IS"/>
        </w:rPr>
        <w:cr/>
      </w:r>
    </w:p>
    <w:p w14:paraId="33E5789F" w14:textId="77777777" w:rsidR="001A4384" w:rsidRPr="00B10640" w:rsidRDefault="001A4384" w:rsidP="001A4384">
      <w:pPr>
        <w:ind w:left="567" w:right="902"/>
        <w:jc w:val="both"/>
        <w:rPr>
          <w:b/>
          <w:szCs w:val="24"/>
        </w:rPr>
      </w:pPr>
      <w:r w:rsidRPr="00B10640">
        <w:rPr>
          <w:b/>
          <w:szCs w:val="24"/>
        </w:rPr>
        <w:t>Veggir:</w:t>
      </w:r>
    </w:p>
    <w:p w14:paraId="33E578A0" w14:textId="77777777" w:rsidR="001A4384" w:rsidRPr="00B10640" w:rsidRDefault="001A4384" w:rsidP="001A4384">
      <w:pPr>
        <w:tabs>
          <w:tab w:val="center" w:pos="2659"/>
          <w:tab w:val="center" w:pos="3686"/>
        </w:tabs>
        <w:ind w:left="993" w:right="902"/>
        <w:jc w:val="both"/>
        <w:rPr>
          <w:szCs w:val="24"/>
        </w:rPr>
      </w:pPr>
      <w:r w:rsidRPr="00B10640">
        <w:rPr>
          <w:szCs w:val="24"/>
        </w:rPr>
        <w:t>Þvermál</w:t>
      </w:r>
      <w:r w:rsidRPr="00B10640">
        <w:rPr>
          <w:szCs w:val="24"/>
        </w:rPr>
        <w:tab/>
      </w:r>
      <w:r w:rsidRPr="00B10640">
        <w:rPr>
          <w:szCs w:val="24"/>
        </w:rPr>
        <w:tab/>
        <w:t>Í báðar áttir</w:t>
      </w:r>
    </w:p>
    <w:p w14:paraId="33E578A1" w14:textId="77777777" w:rsidR="001A4384" w:rsidRPr="00B10640" w:rsidRDefault="001A4384" w:rsidP="001A4384">
      <w:pPr>
        <w:tabs>
          <w:tab w:val="center" w:pos="2659"/>
          <w:tab w:val="center" w:pos="3686"/>
        </w:tabs>
        <w:ind w:left="993" w:right="902"/>
        <w:jc w:val="both"/>
        <w:rPr>
          <w:position w:val="5"/>
          <w:szCs w:val="24"/>
        </w:rPr>
      </w:pPr>
      <w:r w:rsidRPr="00B10640">
        <w:rPr>
          <w:szCs w:val="24"/>
        </w:rPr>
        <w:t>burðarjárna</w:t>
      </w:r>
      <w:r w:rsidRPr="00B10640">
        <w:rPr>
          <w:szCs w:val="24"/>
        </w:rPr>
        <w:tab/>
      </w:r>
      <w:r w:rsidRPr="00B10640">
        <w:rPr>
          <w:szCs w:val="24"/>
        </w:rPr>
        <w:tab/>
        <w:t>stk</w:t>
      </w:r>
      <w:r w:rsidR="00EF665D">
        <w:rPr>
          <w:szCs w:val="24"/>
        </w:rPr>
        <w:t>.</w:t>
      </w:r>
      <w:r w:rsidRPr="00B10640">
        <w:rPr>
          <w:szCs w:val="24"/>
        </w:rPr>
        <w:t>/m</w:t>
      </w:r>
      <w:r w:rsidRPr="00B10640">
        <w:rPr>
          <w:szCs w:val="24"/>
          <w:vertAlign w:val="superscript"/>
        </w:rPr>
        <w:t>2</w:t>
      </w:r>
    </w:p>
    <w:p w14:paraId="33E578A2" w14:textId="77777777" w:rsidR="001A4384" w:rsidRPr="00B10640" w:rsidRDefault="001A4384" w:rsidP="001A4384">
      <w:pPr>
        <w:tabs>
          <w:tab w:val="center" w:pos="2659"/>
          <w:tab w:val="center" w:pos="3686"/>
        </w:tabs>
        <w:ind w:left="993" w:right="902"/>
        <w:jc w:val="both"/>
        <w:rPr>
          <w:szCs w:val="24"/>
        </w:rPr>
      </w:pPr>
      <w:r w:rsidRPr="00B10640">
        <w:rPr>
          <w:szCs w:val="24"/>
        </w:rPr>
        <w:t xml:space="preserve">     mm</w:t>
      </w:r>
    </w:p>
    <w:p w14:paraId="33E578A3" w14:textId="77777777" w:rsidR="001A4384" w:rsidRPr="00B10640" w:rsidRDefault="001A4384" w:rsidP="001A4384">
      <w:pPr>
        <w:tabs>
          <w:tab w:val="center" w:pos="2659"/>
          <w:tab w:val="center" w:pos="3686"/>
        </w:tabs>
        <w:ind w:left="993" w:right="902"/>
        <w:jc w:val="both"/>
        <w:rPr>
          <w:szCs w:val="24"/>
        </w:rPr>
      </w:pPr>
      <w:r w:rsidRPr="00B10640">
        <w:rPr>
          <w:szCs w:val="24"/>
        </w:rPr>
        <w:t xml:space="preserve">    8-10</w:t>
      </w:r>
      <w:r w:rsidRPr="00B10640">
        <w:rPr>
          <w:szCs w:val="24"/>
        </w:rPr>
        <w:tab/>
        <w:t xml:space="preserve">   </w:t>
      </w:r>
      <w:r w:rsidRPr="00B10640">
        <w:rPr>
          <w:szCs w:val="24"/>
        </w:rPr>
        <w:tab/>
        <w:t xml:space="preserve">  4</w:t>
      </w:r>
    </w:p>
    <w:p w14:paraId="33E578A4" w14:textId="77777777" w:rsidR="001A4384" w:rsidRPr="00B10640" w:rsidRDefault="001A4384" w:rsidP="001A4384">
      <w:pPr>
        <w:tabs>
          <w:tab w:val="center" w:pos="2659"/>
          <w:tab w:val="center" w:pos="3686"/>
        </w:tabs>
        <w:ind w:left="993" w:right="902"/>
        <w:jc w:val="both"/>
        <w:rPr>
          <w:szCs w:val="24"/>
        </w:rPr>
      </w:pPr>
      <w:r w:rsidRPr="00B10640">
        <w:rPr>
          <w:szCs w:val="24"/>
        </w:rPr>
        <w:t xml:space="preserve">   12-25</w:t>
      </w:r>
      <w:r w:rsidRPr="00B10640">
        <w:rPr>
          <w:szCs w:val="24"/>
        </w:rPr>
        <w:tab/>
      </w:r>
      <w:r w:rsidRPr="00B10640">
        <w:rPr>
          <w:szCs w:val="24"/>
        </w:rPr>
        <w:tab/>
        <w:t xml:space="preserve">  2</w:t>
      </w:r>
    </w:p>
    <w:p w14:paraId="33E578A5" w14:textId="77777777" w:rsidR="001A4384" w:rsidRPr="00B10640" w:rsidRDefault="001A4384" w:rsidP="001A4384">
      <w:pPr>
        <w:spacing w:before="85" w:after="85"/>
        <w:ind w:left="567"/>
        <w:jc w:val="both"/>
        <w:rPr>
          <w:noProof/>
          <w:szCs w:val="24"/>
        </w:rPr>
      </w:pPr>
      <w:r w:rsidRPr="00B10640">
        <w:rPr>
          <w:noProof/>
          <w:szCs w:val="24"/>
        </w:rPr>
        <w:t xml:space="preserve">Gerð stóla og fjarlægðarklossa skal samþykkt af eftirliti. </w:t>
      </w:r>
    </w:p>
    <w:p w14:paraId="33E578A6" w14:textId="77777777" w:rsidR="001A4384" w:rsidRPr="00B10640" w:rsidRDefault="001A4384" w:rsidP="001A4384">
      <w:pPr>
        <w:spacing w:before="85" w:after="85"/>
        <w:ind w:left="567"/>
        <w:jc w:val="both"/>
        <w:rPr>
          <w:noProof/>
          <w:szCs w:val="24"/>
          <w:lang w:val="nn-NO"/>
        </w:rPr>
      </w:pPr>
      <w:r w:rsidRPr="00B10640">
        <w:rPr>
          <w:noProof/>
          <w:szCs w:val="24"/>
          <w:lang w:val="nn-NO"/>
        </w:rPr>
        <w:t>Ef ekki er mælt fyrir um annað skulu beygjur járna vera í samræmi við eftirfarandi:</w:t>
      </w:r>
    </w:p>
    <w:tbl>
      <w:tblPr>
        <w:tblStyle w:val="TableGrid"/>
        <w:tblW w:w="4687" w:type="pct"/>
        <w:tblInd w:w="567" w:type="dxa"/>
        <w:tblLook w:val="04A0" w:firstRow="1" w:lastRow="0" w:firstColumn="1" w:lastColumn="0" w:noHBand="0" w:noVBand="1"/>
      </w:tblPr>
      <w:tblGrid>
        <w:gridCol w:w="2123"/>
        <w:gridCol w:w="2124"/>
        <w:gridCol w:w="2124"/>
        <w:gridCol w:w="2124"/>
      </w:tblGrid>
      <w:tr w:rsidR="00EF665D" w14:paraId="33E578A8" w14:textId="77777777" w:rsidTr="00E65154">
        <w:trPr>
          <w:trHeight w:val="284"/>
        </w:trPr>
        <w:tc>
          <w:tcPr>
            <w:tcW w:w="5000" w:type="pct"/>
            <w:gridSpan w:val="4"/>
          </w:tcPr>
          <w:p w14:paraId="33E578A7" w14:textId="77777777" w:rsidR="00EF665D" w:rsidRDefault="003B3E30" w:rsidP="001A4384">
            <w:pPr>
              <w:tabs>
                <w:tab w:val="left" w:pos="1276"/>
              </w:tabs>
              <w:spacing w:before="240" w:after="240" w:line="276" w:lineRule="auto"/>
              <w:ind w:left="0"/>
              <w:jc w:val="both"/>
              <w:rPr>
                <w:b/>
                <w:szCs w:val="24"/>
                <w:lang w:val="nn-NO" w:eastAsia="is-IS"/>
              </w:rPr>
            </w:pPr>
            <w:r w:rsidRPr="00EF665D">
              <w:rPr>
                <w:b/>
                <w:szCs w:val="24"/>
                <w:lang w:val="nn-NO" w:eastAsia="is-IS"/>
              </w:rPr>
              <w:t xml:space="preserve">Beygjur og krókar á </w:t>
            </w:r>
            <w:r w:rsidR="00CB72B4">
              <w:rPr>
                <w:b/>
                <w:szCs w:val="24"/>
                <w:lang w:val="nn-NO" w:eastAsia="is-IS"/>
              </w:rPr>
              <w:t>lykkjum, krókar á höfuðbendingu</w:t>
            </w:r>
          </w:p>
        </w:tc>
      </w:tr>
      <w:tr w:rsidR="00EF665D" w14:paraId="33E578AD" w14:textId="77777777" w:rsidTr="00CB72B4">
        <w:trPr>
          <w:trHeight w:val="605"/>
        </w:trPr>
        <w:tc>
          <w:tcPr>
            <w:tcW w:w="1250" w:type="pct"/>
          </w:tcPr>
          <w:p w14:paraId="33E578A9" w14:textId="77777777" w:rsidR="00EF665D" w:rsidRDefault="003B3E30" w:rsidP="001A4384">
            <w:pPr>
              <w:tabs>
                <w:tab w:val="left" w:pos="1276"/>
              </w:tabs>
              <w:spacing w:before="240" w:after="240" w:line="276" w:lineRule="auto"/>
              <w:ind w:left="0"/>
              <w:jc w:val="both"/>
              <w:rPr>
                <w:b/>
                <w:szCs w:val="24"/>
                <w:lang w:val="nn-NO" w:eastAsia="is-IS"/>
              </w:rPr>
            </w:pPr>
            <w:r w:rsidRPr="00EF665D">
              <w:rPr>
                <w:szCs w:val="24"/>
                <w:lang w:val="nn-NO" w:eastAsia="is-IS"/>
              </w:rPr>
              <w:t>Þvermál stanga</w:t>
            </w:r>
          </w:p>
        </w:tc>
        <w:tc>
          <w:tcPr>
            <w:tcW w:w="1250" w:type="pct"/>
          </w:tcPr>
          <w:p w14:paraId="33E578AA" w14:textId="77777777" w:rsidR="00EF665D" w:rsidRDefault="00EF665D" w:rsidP="001A4384">
            <w:pPr>
              <w:tabs>
                <w:tab w:val="left" w:pos="1276"/>
              </w:tabs>
              <w:spacing w:before="240" w:after="240" w:line="276" w:lineRule="auto"/>
              <w:ind w:left="0"/>
              <w:jc w:val="both"/>
              <w:rPr>
                <w:b/>
                <w:szCs w:val="24"/>
                <w:lang w:val="nn-NO" w:eastAsia="is-IS"/>
              </w:rPr>
            </w:pPr>
          </w:p>
        </w:tc>
        <w:tc>
          <w:tcPr>
            <w:tcW w:w="1250" w:type="pct"/>
          </w:tcPr>
          <w:p w14:paraId="33E578AB" w14:textId="77777777" w:rsidR="00EF665D" w:rsidRDefault="003B3E30" w:rsidP="00CB72B4">
            <w:pPr>
              <w:tabs>
                <w:tab w:val="left" w:pos="1276"/>
              </w:tabs>
              <w:spacing w:before="240" w:after="240" w:line="276" w:lineRule="auto"/>
              <w:ind w:left="0"/>
              <w:jc w:val="center"/>
              <w:rPr>
                <w:b/>
                <w:szCs w:val="24"/>
                <w:lang w:val="nn-NO" w:eastAsia="is-IS"/>
              </w:rPr>
            </w:pPr>
            <w:r w:rsidRPr="00B10640">
              <w:rPr>
                <w:szCs w:val="24"/>
                <w:lang w:eastAsia="is-IS"/>
              </w:rPr>
              <w:t>ø &lt; 20 mm</w:t>
            </w:r>
          </w:p>
        </w:tc>
        <w:tc>
          <w:tcPr>
            <w:tcW w:w="1250" w:type="pct"/>
          </w:tcPr>
          <w:p w14:paraId="33E578AC" w14:textId="77777777" w:rsidR="00EF665D" w:rsidRDefault="003B3E30" w:rsidP="00CB72B4">
            <w:pPr>
              <w:tabs>
                <w:tab w:val="left" w:pos="1276"/>
              </w:tabs>
              <w:spacing w:before="240" w:after="240" w:line="276" w:lineRule="auto"/>
              <w:ind w:left="0"/>
              <w:jc w:val="center"/>
              <w:rPr>
                <w:b/>
                <w:szCs w:val="24"/>
                <w:lang w:val="nn-NO" w:eastAsia="is-IS"/>
              </w:rPr>
            </w:pPr>
            <w:r w:rsidRPr="00B10640">
              <w:rPr>
                <w:szCs w:val="24"/>
                <w:lang w:eastAsia="is-IS"/>
              </w:rPr>
              <w:t>ø ≥ 20 mm</w:t>
            </w:r>
          </w:p>
        </w:tc>
      </w:tr>
      <w:tr w:rsidR="00EF665D" w14:paraId="33E578B2" w14:textId="77777777" w:rsidTr="00CB72B4">
        <w:trPr>
          <w:trHeight w:val="454"/>
        </w:trPr>
        <w:tc>
          <w:tcPr>
            <w:tcW w:w="1250" w:type="pct"/>
          </w:tcPr>
          <w:p w14:paraId="33E578AE" w14:textId="77777777" w:rsidR="00EF665D" w:rsidRDefault="003B3E30" w:rsidP="001A4384">
            <w:pPr>
              <w:tabs>
                <w:tab w:val="left" w:pos="1276"/>
              </w:tabs>
              <w:spacing w:before="240" w:after="240" w:line="276" w:lineRule="auto"/>
              <w:ind w:left="0"/>
              <w:jc w:val="both"/>
              <w:rPr>
                <w:b/>
                <w:szCs w:val="24"/>
                <w:lang w:val="nn-NO" w:eastAsia="is-IS"/>
              </w:rPr>
            </w:pPr>
            <w:r w:rsidRPr="00B10640">
              <w:rPr>
                <w:szCs w:val="24"/>
                <w:lang w:eastAsia="is-IS"/>
              </w:rPr>
              <w:t>B500NC</w:t>
            </w:r>
          </w:p>
        </w:tc>
        <w:tc>
          <w:tcPr>
            <w:tcW w:w="1250" w:type="pct"/>
          </w:tcPr>
          <w:p w14:paraId="33E578AF" w14:textId="77777777" w:rsidR="00EF665D" w:rsidRDefault="00EF665D" w:rsidP="001A4384">
            <w:pPr>
              <w:tabs>
                <w:tab w:val="left" w:pos="1276"/>
              </w:tabs>
              <w:spacing w:before="240" w:after="240" w:line="276" w:lineRule="auto"/>
              <w:ind w:left="0"/>
              <w:jc w:val="both"/>
              <w:rPr>
                <w:b/>
                <w:szCs w:val="24"/>
                <w:lang w:val="nn-NO" w:eastAsia="is-IS"/>
              </w:rPr>
            </w:pPr>
          </w:p>
        </w:tc>
        <w:tc>
          <w:tcPr>
            <w:tcW w:w="1250" w:type="pct"/>
          </w:tcPr>
          <w:p w14:paraId="33E578B0" w14:textId="77777777" w:rsidR="00EF665D" w:rsidRDefault="003B3E30" w:rsidP="00CB72B4">
            <w:pPr>
              <w:tabs>
                <w:tab w:val="left" w:pos="1276"/>
              </w:tabs>
              <w:spacing w:before="240" w:after="240" w:line="276" w:lineRule="auto"/>
              <w:ind w:left="0"/>
              <w:jc w:val="center"/>
              <w:rPr>
                <w:b/>
                <w:szCs w:val="24"/>
                <w:lang w:val="nn-NO" w:eastAsia="is-IS"/>
              </w:rPr>
            </w:pPr>
            <w:r w:rsidRPr="00B10640">
              <w:rPr>
                <w:szCs w:val="24"/>
                <w:lang w:eastAsia="is-IS"/>
              </w:rPr>
              <w:t>4 ø</w:t>
            </w:r>
          </w:p>
        </w:tc>
        <w:tc>
          <w:tcPr>
            <w:tcW w:w="1250" w:type="pct"/>
          </w:tcPr>
          <w:p w14:paraId="33E578B1" w14:textId="77777777" w:rsidR="00EF665D" w:rsidRDefault="003B3E30" w:rsidP="00CB72B4">
            <w:pPr>
              <w:tabs>
                <w:tab w:val="left" w:pos="1276"/>
              </w:tabs>
              <w:spacing w:before="240" w:after="240" w:line="276" w:lineRule="auto"/>
              <w:ind w:left="0"/>
              <w:jc w:val="center"/>
              <w:rPr>
                <w:b/>
                <w:szCs w:val="24"/>
                <w:lang w:val="nn-NO" w:eastAsia="is-IS"/>
              </w:rPr>
            </w:pPr>
            <w:r w:rsidRPr="00B10640">
              <w:rPr>
                <w:szCs w:val="24"/>
                <w:lang w:eastAsia="is-IS"/>
              </w:rPr>
              <w:t>7 ø</w:t>
            </w:r>
          </w:p>
        </w:tc>
      </w:tr>
      <w:tr w:rsidR="003B3E30" w14:paraId="33E578B4" w14:textId="77777777" w:rsidTr="00CB72B4">
        <w:trPr>
          <w:trHeight w:val="558"/>
        </w:trPr>
        <w:tc>
          <w:tcPr>
            <w:tcW w:w="5000" w:type="pct"/>
            <w:gridSpan w:val="4"/>
          </w:tcPr>
          <w:p w14:paraId="33E578B3" w14:textId="77777777" w:rsidR="003B3E30" w:rsidRDefault="003B3E30" w:rsidP="003B3E30">
            <w:pPr>
              <w:tabs>
                <w:tab w:val="left" w:pos="1276"/>
                <w:tab w:val="center" w:pos="3402"/>
              </w:tabs>
              <w:spacing w:before="240" w:after="240" w:line="276" w:lineRule="auto"/>
              <w:ind w:left="0"/>
              <w:jc w:val="both"/>
              <w:rPr>
                <w:b/>
                <w:szCs w:val="24"/>
                <w:lang w:val="nn-NO" w:eastAsia="is-IS"/>
              </w:rPr>
            </w:pPr>
            <w:proofErr w:type="spellStart"/>
            <w:r w:rsidRPr="00EF665D">
              <w:rPr>
                <w:b/>
                <w:szCs w:val="24"/>
                <w:lang w:eastAsia="is-IS"/>
              </w:rPr>
              <w:t>Uppbeygð</w:t>
            </w:r>
            <w:proofErr w:type="spellEnd"/>
            <w:r w:rsidRPr="00EF665D">
              <w:rPr>
                <w:b/>
                <w:szCs w:val="24"/>
                <w:lang w:eastAsia="is-IS"/>
              </w:rPr>
              <w:t xml:space="preserve"> höfuðbending eða aðrar beygjur</w:t>
            </w:r>
          </w:p>
        </w:tc>
      </w:tr>
      <w:tr w:rsidR="003B3E30" w14:paraId="33E578B7" w14:textId="77777777" w:rsidTr="00CB72B4">
        <w:trPr>
          <w:trHeight w:val="454"/>
        </w:trPr>
        <w:tc>
          <w:tcPr>
            <w:tcW w:w="1250" w:type="pct"/>
          </w:tcPr>
          <w:p w14:paraId="33E578B5" w14:textId="77777777" w:rsidR="003B3E30" w:rsidRDefault="003B3E30" w:rsidP="001A4384">
            <w:pPr>
              <w:tabs>
                <w:tab w:val="left" w:pos="1276"/>
              </w:tabs>
              <w:spacing w:before="240" w:after="240" w:line="276" w:lineRule="auto"/>
              <w:ind w:left="0"/>
              <w:jc w:val="both"/>
              <w:rPr>
                <w:b/>
                <w:szCs w:val="24"/>
                <w:lang w:val="nn-NO" w:eastAsia="is-IS"/>
              </w:rPr>
            </w:pPr>
          </w:p>
        </w:tc>
        <w:tc>
          <w:tcPr>
            <w:tcW w:w="3750" w:type="pct"/>
            <w:gridSpan w:val="3"/>
          </w:tcPr>
          <w:p w14:paraId="33E578B6" w14:textId="77777777" w:rsidR="003B3E30" w:rsidRDefault="003B3E30" w:rsidP="001A4384">
            <w:pPr>
              <w:tabs>
                <w:tab w:val="left" w:pos="1276"/>
              </w:tabs>
              <w:spacing w:before="240" w:after="240" w:line="276" w:lineRule="auto"/>
              <w:ind w:left="0"/>
              <w:jc w:val="both"/>
              <w:rPr>
                <w:b/>
                <w:szCs w:val="24"/>
                <w:lang w:val="nn-NO" w:eastAsia="is-IS"/>
              </w:rPr>
            </w:pPr>
            <w:r>
              <w:rPr>
                <w:b/>
                <w:szCs w:val="24"/>
                <w:lang w:val="nn-NO" w:eastAsia="is-IS"/>
              </w:rPr>
              <w:t>Minnsta steypuhula</w:t>
            </w:r>
            <w:r w:rsidR="007C304F">
              <w:rPr>
                <w:b/>
                <w:szCs w:val="24"/>
                <w:lang w:val="nn-NO" w:eastAsia="is-IS"/>
              </w:rPr>
              <w:t>,</w:t>
            </w:r>
            <w:r>
              <w:rPr>
                <w:b/>
                <w:szCs w:val="24"/>
                <w:lang w:val="nn-NO" w:eastAsia="is-IS"/>
              </w:rPr>
              <w:t xml:space="preserve"> hornrétt á beygjuplan</w:t>
            </w:r>
          </w:p>
        </w:tc>
      </w:tr>
      <w:tr w:rsidR="003B3E30" w14:paraId="33E578BF" w14:textId="77777777" w:rsidTr="00CB72B4">
        <w:trPr>
          <w:trHeight w:val="454"/>
        </w:trPr>
        <w:tc>
          <w:tcPr>
            <w:tcW w:w="1250" w:type="pct"/>
          </w:tcPr>
          <w:p w14:paraId="33E578B8" w14:textId="77777777" w:rsidR="003B3E30" w:rsidRDefault="003B3E30" w:rsidP="003B3E30">
            <w:pPr>
              <w:tabs>
                <w:tab w:val="left" w:pos="1276"/>
              </w:tabs>
              <w:spacing w:before="240" w:after="240" w:line="276" w:lineRule="auto"/>
              <w:ind w:left="0"/>
              <w:jc w:val="both"/>
              <w:rPr>
                <w:b/>
                <w:szCs w:val="24"/>
                <w:lang w:val="nn-NO" w:eastAsia="is-IS"/>
              </w:rPr>
            </w:pPr>
          </w:p>
        </w:tc>
        <w:tc>
          <w:tcPr>
            <w:tcW w:w="1250" w:type="pct"/>
          </w:tcPr>
          <w:p w14:paraId="33E578B9" w14:textId="77777777" w:rsidR="003B3E30" w:rsidRDefault="003B3E30" w:rsidP="00CB72B4">
            <w:pPr>
              <w:tabs>
                <w:tab w:val="center" w:pos="3118"/>
              </w:tabs>
              <w:ind w:left="567" w:right="17" w:hanging="567"/>
              <w:jc w:val="center"/>
              <w:rPr>
                <w:szCs w:val="24"/>
                <w:lang w:eastAsia="is-IS"/>
              </w:rPr>
            </w:pPr>
            <w:r w:rsidRPr="00B10640">
              <w:rPr>
                <w:szCs w:val="24"/>
                <w:lang w:eastAsia="is-IS"/>
              </w:rPr>
              <w:t>&gt; 100 mm</w:t>
            </w:r>
          </w:p>
          <w:p w14:paraId="33E578BA" w14:textId="77777777" w:rsidR="003B3E30" w:rsidRPr="00B10640" w:rsidRDefault="003B3E30" w:rsidP="00CB72B4">
            <w:pPr>
              <w:tabs>
                <w:tab w:val="center" w:pos="3118"/>
              </w:tabs>
              <w:ind w:left="567" w:right="17" w:hanging="567"/>
              <w:jc w:val="center"/>
              <w:rPr>
                <w:szCs w:val="24"/>
                <w:lang w:eastAsia="is-IS"/>
              </w:rPr>
            </w:pPr>
            <w:r w:rsidRPr="00B10640">
              <w:rPr>
                <w:szCs w:val="24"/>
                <w:lang w:eastAsia="is-IS"/>
              </w:rPr>
              <w:t>og &gt;7 ø</w:t>
            </w:r>
          </w:p>
        </w:tc>
        <w:tc>
          <w:tcPr>
            <w:tcW w:w="1250" w:type="pct"/>
          </w:tcPr>
          <w:p w14:paraId="33E578BB" w14:textId="77777777" w:rsidR="003B3E30" w:rsidRDefault="003B3E30" w:rsidP="00CB72B4">
            <w:pPr>
              <w:tabs>
                <w:tab w:val="center" w:pos="3118"/>
              </w:tabs>
              <w:ind w:left="567" w:right="17" w:hanging="567"/>
              <w:jc w:val="center"/>
              <w:rPr>
                <w:szCs w:val="24"/>
                <w:lang w:eastAsia="is-IS"/>
              </w:rPr>
            </w:pPr>
            <w:r w:rsidRPr="00B10640">
              <w:rPr>
                <w:szCs w:val="24"/>
                <w:lang w:eastAsia="is-IS"/>
              </w:rPr>
              <w:t>&gt; 50 mm</w:t>
            </w:r>
          </w:p>
          <w:p w14:paraId="33E578BC" w14:textId="77777777" w:rsidR="003B3E30" w:rsidRPr="003B3E30" w:rsidRDefault="003B3E30" w:rsidP="00CB72B4">
            <w:pPr>
              <w:tabs>
                <w:tab w:val="center" w:pos="3118"/>
              </w:tabs>
              <w:ind w:left="567" w:right="17" w:hanging="567"/>
              <w:jc w:val="center"/>
              <w:rPr>
                <w:szCs w:val="24"/>
                <w:lang w:eastAsia="is-IS"/>
              </w:rPr>
            </w:pPr>
            <w:r w:rsidRPr="00B10640">
              <w:rPr>
                <w:szCs w:val="24"/>
                <w:lang w:eastAsia="is-IS"/>
              </w:rPr>
              <w:t>og &gt; 3 ø</w:t>
            </w:r>
          </w:p>
        </w:tc>
        <w:tc>
          <w:tcPr>
            <w:tcW w:w="1250" w:type="pct"/>
          </w:tcPr>
          <w:p w14:paraId="33E578BD" w14:textId="77777777" w:rsidR="003B3E30" w:rsidRDefault="003B3E30" w:rsidP="00CB72B4">
            <w:pPr>
              <w:tabs>
                <w:tab w:val="center" w:pos="3118"/>
              </w:tabs>
              <w:ind w:left="567" w:right="17" w:hanging="567"/>
              <w:jc w:val="center"/>
              <w:rPr>
                <w:szCs w:val="24"/>
                <w:lang w:eastAsia="is-IS"/>
              </w:rPr>
            </w:pPr>
            <w:r w:rsidRPr="00B10640">
              <w:rPr>
                <w:szCs w:val="24"/>
                <w:lang w:eastAsia="is-IS"/>
              </w:rPr>
              <w:sym w:font="Symbol" w:char="F0A3"/>
            </w:r>
            <w:r w:rsidRPr="00B10640">
              <w:rPr>
                <w:szCs w:val="24"/>
                <w:lang w:eastAsia="is-IS"/>
              </w:rPr>
              <w:t>50 mm</w:t>
            </w:r>
          </w:p>
          <w:p w14:paraId="33E578BE" w14:textId="77777777" w:rsidR="003B3E30" w:rsidRDefault="003B3E30" w:rsidP="00E65154">
            <w:pPr>
              <w:tabs>
                <w:tab w:val="center" w:pos="3118"/>
              </w:tabs>
              <w:ind w:left="567" w:right="17" w:hanging="567"/>
              <w:jc w:val="center"/>
              <w:rPr>
                <w:b/>
                <w:szCs w:val="24"/>
                <w:lang w:val="nn-NO" w:eastAsia="is-IS"/>
              </w:rPr>
            </w:pPr>
            <w:r w:rsidRPr="00B10640">
              <w:rPr>
                <w:szCs w:val="24"/>
                <w:lang w:eastAsia="is-IS"/>
              </w:rPr>
              <w:t>og 3 ø</w:t>
            </w:r>
          </w:p>
        </w:tc>
      </w:tr>
      <w:tr w:rsidR="003B3E30" w14:paraId="33E578C4" w14:textId="77777777" w:rsidTr="00E65154">
        <w:trPr>
          <w:trHeight w:val="531"/>
        </w:trPr>
        <w:tc>
          <w:tcPr>
            <w:tcW w:w="1250" w:type="pct"/>
          </w:tcPr>
          <w:p w14:paraId="33E578C0" w14:textId="77777777" w:rsidR="003B3E30" w:rsidRDefault="003B3E30" w:rsidP="003B3E30">
            <w:pPr>
              <w:tabs>
                <w:tab w:val="left" w:pos="1276"/>
              </w:tabs>
              <w:spacing w:before="240" w:after="240" w:line="276" w:lineRule="auto"/>
              <w:ind w:left="0"/>
              <w:jc w:val="both"/>
              <w:rPr>
                <w:b/>
                <w:szCs w:val="24"/>
                <w:lang w:val="nn-NO" w:eastAsia="is-IS"/>
              </w:rPr>
            </w:pPr>
            <w:r w:rsidRPr="00B10640">
              <w:rPr>
                <w:szCs w:val="24"/>
                <w:lang w:eastAsia="is-IS"/>
              </w:rPr>
              <w:lastRenderedPageBreak/>
              <w:t>B500NC</w:t>
            </w:r>
            <w:r w:rsidRPr="00B10640">
              <w:rPr>
                <w:szCs w:val="24"/>
                <w:lang w:eastAsia="is-IS"/>
              </w:rPr>
              <w:tab/>
            </w:r>
          </w:p>
        </w:tc>
        <w:tc>
          <w:tcPr>
            <w:tcW w:w="1250" w:type="pct"/>
          </w:tcPr>
          <w:p w14:paraId="33E578C1" w14:textId="77777777" w:rsidR="003B3E30" w:rsidRDefault="003B3E30" w:rsidP="00CB72B4">
            <w:pPr>
              <w:tabs>
                <w:tab w:val="left" w:pos="1276"/>
              </w:tabs>
              <w:spacing w:before="240" w:after="240" w:line="276" w:lineRule="auto"/>
              <w:ind w:left="0"/>
              <w:jc w:val="center"/>
              <w:rPr>
                <w:b/>
                <w:szCs w:val="24"/>
                <w:lang w:val="nn-NO" w:eastAsia="is-IS"/>
              </w:rPr>
            </w:pPr>
            <w:r w:rsidRPr="00B10640">
              <w:rPr>
                <w:szCs w:val="24"/>
                <w:lang w:eastAsia="is-IS"/>
              </w:rPr>
              <w:t>10 ø</w:t>
            </w:r>
          </w:p>
        </w:tc>
        <w:tc>
          <w:tcPr>
            <w:tcW w:w="1250" w:type="pct"/>
          </w:tcPr>
          <w:p w14:paraId="33E578C2" w14:textId="77777777" w:rsidR="003B3E30" w:rsidRDefault="003B3E30" w:rsidP="00CB72B4">
            <w:pPr>
              <w:tabs>
                <w:tab w:val="left" w:pos="1276"/>
              </w:tabs>
              <w:spacing w:before="240" w:after="240" w:line="276" w:lineRule="auto"/>
              <w:ind w:left="0"/>
              <w:jc w:val="center"/>
              <w:rPr>
                <w:b/>
                <w:szCs w:val="24"/>
                <w:lang w:val="nn-NO" w:eastAsia="is-IS"/>
              </w:rPr>
            </w:pPr>
            <w:r w:rsidRPr="00B10640">
              <w:rPr>
                <w:szCs w:val="24"/>
                <w:lang w:eastAsia="is-IS"/>
              </w:rPr>
              <w:t>15 ø</w:t>
            </w:r>
          </w:p>
        </w:tc>
        <w:tc>
          <w:tcPr>
            <w:tcW w:w="1250" w:type="pct"/>
          </w:tcPr>
          <w:p w14:paraId="33E578C3" w14:textId="77777777" w:rsidR="003B3E30" w:rsidRDefault="003B3E30" w:rsidP="00E65154">
            <w:pPr>
              <w:tabs>
                <w:tab w:val="left" w:pos="1276"/>
              </w:tabs>
              <w:spacing w:before="240" w:after="240" w:line="276" w:lineRule="auto"/>
              <w:ind w:left="0"/>
              <w:jc w:val="center"/>
              <w:rPr>
                <w:b/>
                <w:szCs w:val="24"/>
                <w:lang w:val="nn-NO" w:eastAsia="is-IS"/>
              </w:rPr>
            </w:pPr>
            <w:r w:rsidRPr="00B10640">
              <w:rPr>
                <w:szCs w:val="24"/>
                <w:lang w:eastAsia="is-IS"/>
              </w:rPr>
              <w:t>20 ø</w:t>
            </w:r>
          </w:p>
        </w:tc>
      </w:tr>
    </w:tbl>
    <w:p w14:paraId="33E578C5" w14:textId="77777777" w:rsidR="001A4384" w:rsidRPr="00B10640" w:rsidRDefault="00EF665D" w:rsidP="001A4384">
      <w:pPr>
        <w:tabs>
          <w:tab w:val="center" w:pos="2098"/>
          <w:tab w:val="center" w:pos="3169"/>
          <w:tab w:val="center" w:pos="4167"/>
        </w:tabs>
        <w:ind w:left="567" w:right="17"/>
        <w:jc w:val="both"/>
        <w:rPr>
          <w:szCs w:val="24"/>
          <w:lang w:eastAsia="is-IS"/>
        </w:rPr>
      </w:pPr>
      <w:r>
        <w:rPr>
          <w:szCs w:val="24"/>
          <w:lang w:eastAsia="is-IS"/>
        </w:rPr>
        <w:tab/>
      </w:r>
      <w:r>
        <w:rPr>
          <w:szCs w:val="24"/>
          <w:lang w:eastAsia="is-IS"/>
        </w:rPr>
        <w:tab/>
      </w:r>
      <w:r w:rsidR="001A4384" w:rsidRPr="00B10640">
        <w:rPr>
          <w:szCs w:val="24"/>
          <w:lang w:eastAsia="is-IS"/>
        </w:rPr>
        <w:tab/>
      </w:r>
      <w:r w:rsidR="001A4384" w:rsidRPr="00B10640">
        <w:rPr>
          <w:szCs w:val="24"/>
          <w:lang w:eastAsia="is-IS"/>
        </w:rPr>
        <w:tab/>
      </w:r>
      <w:r>
        <w:rPr>
          <w:szCs w:val="24"/>
          <w:lang w:eastAsia="is-IS"/>
        </w:rPr>
        <w:tab/>
      </w:r>
      <w:r>
        <w:rPr>
          <w:szCs w:val="24"/>
          <w:lang w:eastAsia="is-IS"/>
        </w:rPr>
        <w:tab/>
      </w:r>
      <w:r>
        <w:rPr>
          <w:szCs w:val="24"/>
          <w:lang w:eastAsia="is-IS"/>
        </w:rPr>
        <w:tab/>
      </w:r>
      <w:r>
        <w:rPr>
          <w:szCs w:val="24"/>
          <w:lang w:eastAsia="is-IS"/>
        </w:rPr>
        <w:tab/>
      </w:r>
      <w:r w:rsidR="001A4384" w:rsidRPr="00B10640">
        <w:rPr>
          <w:szCs w:val="24"/>
          <w:lang w:eastAsia="is-IS"/>
        </w:rPr>
        <w:tab/>
      </w:r>
      <w:r>
        <w:rPr>
          <w:szCs w:val="24"/>
          <w:lang w:eastAsia="is-IS"/>
        </w:rPr>
        <w:tab/>
      </w:r>
      <w:r w:rsidR="001A4384" w:rsidRPr="00B10640">
        <w:rPr>
          <w:szCs w:val="24"/>
          <w:lang w:eastAsia="is-IS"/>
        </w:rPr>
        <w:tab/>
      </w:r>
    </w:p>
    <w:p w14:paraId="33E578C6" w14:textId="77777777" w:rsidR="001A4384" w:rsidRPr="00B10640" w:rsidRDefault="00CB72B4" w:rsidP="001A4384">
      <w:pPr>
        <w:spacing w:line="240" w:lineRule="atLeast"/>
        <w:ind w:left="567" w:hanging="567"/>
        <w:jc w:val="both"/>
        <w:rPr>
          <w:szCs w:val="24"/>
        </w:rPr>
      </w:pPr>
      <w:r>
        <w:rPr>
          <w:szCs w:val="24"/>
        </w:rPr>
        <w:tab/>
        <w:t>Steypuhula einstakra byggingarhluta er sýnd á teikningum. Sé ekki annað tekið fram skal miða við að steypuhula sé almennt 60 mm en 70 mm á klöpp.</w:t>
      </w:r>
    </w:p>
    <w:p w14:paraId="33E578C7" w14:textId="77777777" w:rsidR="00331741" w:rsidRPr="004A12DE" w:rsidRDefault="00380BC6" w:rsidP="00331741">
      <w:pPr>
        <w:pStyle w:val="Li-fyrirsagnir"/>
        <w:tabs>
          <w:tab w:val="clear" w:pos="1008"/>
          <w:tab w:val="clear" w:pos="1134"/>
          <w:tab w:val="left" w:pos="142"/>
        </w:tabs>
        <w:ind w:left="567" w:hanging="567"/>
      </w:pPr>
      <w:r>
        <w:t>d)</w:t>
      </w:r>
      <w:r>
        <w:tab/>
        <w:t>Prófanir</w:t>
      </w:r>
      <w:r w:rsidR="00CB72B4">
        <w:t xml:space="preserve"> og mælingar</w:t>
      </w:r>
    </w:p>
    <w:p w14:paraId="33E578C8" w14:textId="77777777" w:rsidR="001A4384" w:rsidRPr="00B10640" w:rsidRDefault="00331741" w:rsidP="001A4384">
      <w:pPr>
        <w:spacing w:before="85" w:after="85"/>
        <w:ind w:left="567" w:hanging="567"/>
        <w:jc w:val="both"/>
        <w:rPr>
          <w:noProof/>
          <w:szCs w:val="24"/>
        </w:rPr>
      </w:pPr>
      <w:r>
        <w:rPr>
          <w:noProof/>
          <w:szCs w:val="24"/>
        </w:rPr>
        <w:tab/>
      </w:r>
      <w:r w:rsidR="001A4384" w:rsidRPr="00B10640">
        <w:rPr>
          <w:noProof/>
          <w:szCs w:val="24"/>
        </w:rPr>
        <w:t>Prófanir skulu framkvæmdar af eftirliti eða aðila</w:t>
      </w:r>
      <w:r w:rsidR="007C304F">
        <w:rPr>
          <w:noProof/>
          <w:szCs w:val="24"/>
        </w:rPr>
        <w:t>,</w:t>
      </w:r>
      <w:r w:rsidR="001A4384" w:rsidRPr="00B10640">
        <w:rPr>
          <w:noProof/>
          <w:szCs w:val="24"/>
        </w:rPr>
        <w:t xml:space="preserve"> sem verkkaupi samþykkir og skal verktaki sjá</w:t>
      </w:r>
      <w:r w:rsidR="007C304F">
        <w:rPr>
          <w:noProof/>
          <w:szCs w:val="24"/>
        </w:rPr>
        <w:t xml:space="preserve"> </w:t>
      </w:r>
      <w:r w:rsidR="001A4384" w:rsidRPr="00B10640">
        <w:rPr>
          <w:noProof/>
          <w:szCs w:val="24"/>
        </w:rPr>
        <w:t>um að á vinnustað sé ávallt nægjanlega góð aðstaða að mati eftirlits til að framkvæma hinar einstöku prófanir. Ef framleiðsluvottorð liggur ekki fyrir skal prófa bendistál</w:t>
      </w:r>
      <w:r w:rsidR="007C304F">
        <w:rPr>
          <w:noProof/>
          <w:szCs w:val="24"/>
        </w:rPr>
        <w:t>,</w:t>
      </w:r>
      <w:r w:rsidR="001A4384" w:rsidRPr="00B10640">
        <w:rPr>
          <w:noProof/>
          <w:szCs w:val="24"/>
        </w:rPr>
        <w:t xml:space="preserve">  skv. ákvæðum ÍST EN 10080, a.m.k. fyrir hver 30 tonn hverrar stáltegundar og hvers sverleika. </w:t>
      </w:r>
    </w:p>
    <w:p w14:paraId="33E578C9" w14:textId="77777777" w:rsidR="001A4384" w:rsidRPr="00B10640" w:rsidRDefault="001A4384" w:rsidP="001A4384">
      <w:pPr>
        <w:spacing w:before="85" w:after="85"/>
        <w:ind w:left="567"/>
        <w:jc w:val="both"/>
        <w:rPr>
          <w:noProof/>
          <w:szCs w:val="24"/>
          <w:lang w:val="nn-NO"/>
        </w:rPr>
      </w:pPr>
      <w:r w:rsidRPr="00B10640">
        <w:rPr>
          <w:noProof/>
          <w:szCs w:val="24"/>
          <w:lang w:val="nn-NO"/>
        </w:rPr>
        <w:t>Sé ekki mælt fyrir um annað skulu þessar prófanir vera:</w:t>
      </w:r>
    </w:p>
    <w:p w14:paraId="33E578CA" w14:textId="77777777" w:rsidR="001A4384" w:rsidRPr="00B10640" w:rsidRDefault="001A4384" w:rsidP="001A4384">
      <w:pPr>
        <w:ind w:left="567"/>
        <w:rPr>
          <w:szCs w:val="24"/>
          <w:lang w:eastAsia="is-IS"/>
        </w:rPr>
      </w:pPr>
      <w:r w:rsidRPr="00B10640">
        <w:rPr>
          <w:szCs w:val="24"/>
          <w:lang w:eastAsia="is-IS"/>
        </w:rPr>
        <w:t xml:space="preserve">1)  Togprófun, sem innifelur ákvörðun á skriðmörkum, togþoli og brotlengingu. </w:t>
      </w:r>
    </w:p>
    <w:p w14:paraId="33E578CB" w14:textId="77777777" w:rsidR="001A4384" w:rsidRPr="00B10640" w:rsidRDefault="001A4384" w:rsidP="001A4384">
      <w:pPr>
        <w:ind w:left="567"/>
        <w:rPr>
          <w:szCs w:val="24"/>
          <w:lang w:eastAsia="is-IS"/>
        </w:rPr>
      </w:pPr>
      <w:r w:rsidRPr="00B10640">
        <w:rPr>
          <w:szCs w:val="24"/>
          <w:lang w:eastAsia="is-IS"/>
        </w:rPr>
        <w:t xml:space="preserve">2)  Suðuhæfni stáls sem á að sjóða. </w:t>
      </w:r>
    </w:p>
    <w:p w14:paraId="33E578CC" w14:textId="3099C8DE" w:rsidR="001A4384" w:rsidRPr="00B10640" w:rsidRDefault="001A4384" w:rsidP="001A4384">
      <w:pPr>
        <w:spacing w:before="85" w:after="85"/>
        <w:ind w:left="567"/>
        <w:jc w:val="both"/>
        <w:rPr>
          <w:noProof/>
          <w:szCs w:val="24"/>
          <w:lang w:val="nn-NO"/>
        </w:rPr>
      </w:pPr>
      <w:r w:rsidRPr="00B10640">
        <w:rPr>
          <w:noProof/>
          <w:szCs w:val="24"/>
          <w:lang w:val="nn-NO"/>
        </w:rPr>
        <w:t>Sýnataka og mat á samræmi við kröfur sk</w:t>
      </w:r>
      <w:r w:rsidR="007C304F">
        <w:rPr>
          <w:noProof/>
          <w:szCs w:val="24"/>
          <w:lang w:val="nn-NO"/>
        </w:rPr>
        <w:t>ulu</w:t>
      </w:r>
      <w:r w:rsidRPr="00B10640">
        <w:rPr>
          <w:noProof/>
          <w:szCs w:val="24"/>
          <w:lang w:val="nn-NO"/>
        </w:rPr>
        <w:t xml:space="preserve"> vera skv. ÍST EN 10080.</w:t>
      </w:r>
      <w:r w:rsidR="00FA317F">
        <w:rPr>
          <w:noProof/>
          <w:szCs w:val="24"/>
          <w:lang w:val="nn-NO"/>
        </w:rPr>
        <w:t xml:space="preserve"> </w:t>
      </w:r>
      <w:r w:rsidR="00FA317F">
        <w:t xml:space="preserve">Þyngd </w:t>
      </w:r>
      <w:proofErr w:type="spellStart"/>
      <w:r w:rsidR="00FA317F">
        <w:t>slakbentra</w:t>
      </w:r>
      <w:proofErr w:type="spellEnd"/>
      <w:r w:rsidR="00FA317F">
        <w:t xml:space="preserve"> járna reiknast skv. ÍST EN 10080</w:t>
      </w:r>
      <w:r w:rsidR="007C304F">
        <w:t>.</w:t>
      </w:r>
    </w:p>
    <w:p w14:paraId="33E578CD" w14:textId="77777777" w:rsidR="00331741" w:rsidRDefault="001A4384" w:rsidP="00331741">
      <w:pPr>
        <w:pStyle w:val="Li-fyrirsagnir"/>
        <w:tabs>
          <w:tab w:val="clear" w:pos="1008"/>
          <w:tab w:val="clear" w:pos="1134"/>
          <w:tab w:val="left" w:pos="567"/>
        </w:tabs>
        <w:rPr>
          <w:noProof/>
          <w:szCs w:val="24"/>
          <w:lang w:val="nn-NO"/>
        </w:rPr>
      </w:pPr>
      <w:r w:rsidRPr="00B10640">
        <w:rPr>
          <w:noProof/>
          <w:szCs w:val="24"/>
          <w:lang w:val="nn-NO"/>
        </w:rPr>
        <w:t xml:space="preserve">e) </w:t>
      </w:r>
      <w:r w:rsidRPr="00B10640">
        <w:rPr>
          <w:noProof/>
          <w:szCs w:val="24"/>
          <w:lang w:val="nn-NO"/>
        </w:rPr>
        <w:tab/>
      </w:r>
      <w:r w:rsidR="00331741" w:rsidRPr="004A12DE">
        <w:t>Nákvæmni</w:t>
      </w:r>
      <w:r w:rsidR="00380BC6">
        <w:t>s</w:t>
      </w:r>
      <w:r w:rsidR="00331741" w:rsidRPr="004A12DE">
        <w:t>kröfur</w:t>
      </w:r>
      <w:r w:rsidR="00380BC6">
        <w:t>, fráv</w:t>
      </w:r>
      <w:r w:rsidR="00331741" w:rsidRPr="004A12DE">
        <w:t>ik</w:t>
      </w:r>
    </w:p>
    <w:p w14:paraId="33E578CE" w14:textId="77777777" w:rsidR="001A4384" w:rsidRPr="00B10640" w:rsidRDefault="00331741" w:rsidP="001A4384">
      <w:pPr>
        <w:spacing w:before="85" w:after="85"/>
        <w:ind w:left="567" w:hanging="567"/>
        <w:jc w:val="both"/>
        <w:rPr>
          <w:noProof/>
          <w:szCs w:val="24"/>
          <w:lang w:val="nn-NO"/>
        </w:rPr>
      </w:pPr>
      <w:r>
        <w:rPr>
          <w:noProof/>
          <w:szCs w:val="24"/>
          <w:lang w:val="nn-NO"/>
        </w:rPr>
        <w:tab/>
      </w:r>
      <w:r w:rsidR="001A4384" w:rsidRPr="00B10640">
        <w:rPr>
          <w:noProof/>
          <w:szCs w:val="24"/>
          <w:lang w:val="nn-NO"/>
        </w:rPr>
        <w:t xml:space="preserve">Ef ekki eru fyrirmæli um annað er mesta leyfilega frávik í legu einstakra stanga ± 20 mm. </w:t>
      </w:r>
    </w:p>
    <w:p w14:paraId="33E578CF" w14:textId="77777777" w:rsidR="001A4384" w:rsidRDefault="001A4384" w:rsidP="001A4384">
      <w:pPr>
        <w:spacing w:before="85" w:after="85"/>
        <w:ind w:left="567"/>
        <w:jc w:val="both"/>
        <w:rPr>
          <w:noProof/>
          <w:szCs w:val="24"/>
          <w:lang w:val="nn-NO"/>
        </w:rPr>
      </w:pPr>
      <w:r w:rsidRPr="00B10640">
        <w:rPr>
          <w:noProof/>
          <w:szCs w:val="24"/>
          <w:lang w:val="nn-NO"/>
        </w:rPr>
        <w:t xml:space="preserve">Leyfð frávik í steypuhulu eru + 10 mm/- 5 mm. </w:t>
      </w:r>
    </w:p>
    <w:p w14:paraId="33E578D0" w14:textId="77777777" w:rsidR="001A4384" w:rsidRDefault="001A4384" w:rsidP="002F0A56">
      <w:pPr>
        <w:pStyle w:val="Kaflafyrirsagnir"/>
      </w:pPr>
    </w:p>
    <w:p w14:paraId="33E578D1" w14:textId="77777777" w:rsidR="002F0A56" w:rsidRPr="002026BC" w:rsidRDefault="002F0A56" w:rsidP="002F0A56">
      <w:pPr>
        <w:pStyle w:val="Kaflafyrirsagnir"/>
      </w:pPr>
      <w:bookmarkStart w:id="2" w:name="_Toc533158879"/>
      <w:r>
        <w:t>84.</w:t>
      </w:r>
      <w:r w:rsidR="001A4384">
        <w:t>311</w:t>
      </w:r>
      <w:r>
        <w:t xml:space="preserve">  </w:t>
      </w:r>
      <w:r w:rsidR="001A4384">
        <w:t>Járnalögn í sökkla</w:t>
      </w:r>
      <w:bookmarkEnd w:id="2"/>
      <w:r>
        <w:t xml:space="preserve"> </w:t>
      </w:r>
    </w:p>
    <w:p w14:paraId="33E578D2" w14:textId="77777777" w:rsidR="00FA317F" w:rsidRDefault="002F0A56" w:rsidP="00FA317F">
      <w:pPr>
        <w:ind w:left="1134" w:hanging="283"/>
        <w:rPr>
          <w:i/>
          <w:color w:val="4F81BD" w:themeColor="accent1"/>
        </w:rPr>
      </w:pPr>
      <w:r w:rsidRPr="00FA317F">
        <w:rPr>
          <w:b/>
        </w:rPr>
        <w:t>a)</w:t>
      </w:r>
      <w:r w:rsidRPr="00831D1B">
        <w:tab/>
      </w:r>
      <w:r w:rsidR="00FA317F">
        <w:t xml:space="preserve">Um er að ræða </w:t>
      </w:r>
      <w:r w:rsidR="00743125">
        <w:t xml:space="preserve">allan kostnað, efni, vinnu og flutning efnis vegna </w:t>
      </w:r>
      <w:proofErr w:type="spellStart"/>
      <w:r w:rsidR="00743125">
        <w:t>slakbentrar</w:t>
      </w:r>
      <w:proofErr w:type="spellEnd"/>
      <w:r w:rsidR="00743125">
        <w:t xml:space="preserve"> járnalagnar í </w:t>
      </w:r>
      <w:proofErr w:type="spellStart"/>
      <w:r w:rsidR="00743125">
        <w:t>sökkla</w:t>
      </w:r>
      <w:proofErr w:type="spellEnd"/>
      <w:r w:rsidR="00743125">
        <w:t xml:space="preserve"> og þrifalag undir </w:t>
      </w:r>
      <w:proofErr w:type="spellStart"/>
      <w:r w:rsidR="00743125">
        <w:t>sökkla</w:t>
      </w:r>
      <w:proofErr w:type="spellEnd"/>
      <w:r w:rsidR="00FA317F" w:rsidRPr="00902305">
        <w:rPr>
          <w:i/>
          <w:color w:val="4F81BD" w:themeColor="accent1"/>
        </w:rPr>
        <w:t>[nánari lýsing]</w:t>
      </w:r>
      <w:r w:rsidR="007C304F">
        <w:rPr>
          <w:i/>
          <w:color w:val="4F81BD" w:themeColor="accent1"/>
        </w:rPr>
        <w:t>.</w:t>
      </w:r>
    </w:p>
    <w:p w14:paraId="33E578D3" w14:textId="77777777" w:rsidR="002F0A56" w:rsidRPr="007A12AC" w:rsidRDefault="002F0A56" w:rsidP="00FA317F">
      <w:r w:rsidRPr="00FA317F">
        <w:rPr>
          <w:b/>
        </w:rPr>
        <w:t>f)</w:t>
      </w:r>
      <w:r w:rsidRPr="00831D1B">
        <w:tab/>
      </w:r>
      <w:r w:rsidR="00743125">
        <w:t>Uppgjör miðast við magn fullfrágenginnar</w:t>
      </w:r>
      <w:r w:rsidR="007C304F">
        <w:t>,</w:t>
      </w:r>
      <w:r w:rsidR="00743125">
        <w:t xml:space="preserve"> </w:t>
      </w:r>
      <w:proofErr w:type="spellStart"/>
      <w:r w:rsidR="00743125">
        <w:t>slakbentrar</w:t>
      </w:r>
      <w:proofErr w:type="spellEnd"/>
      <w:r w:rsidR="00743125">
        <w:t xml:space="preserve"> járnalagnar</w:t>
      </w:r>
      <w:r w:rsidR="007C304F">
        <w:t>,</w:t>
      </w:r>
      <w:r w:rsidR="00743125">
        <w:t xml:space="preserve"> skv. járnaskrá.</w:t>
      </w:r>
    </w:p>
    <w:p w14:paraId="33E578D4" w14:textId="77777777" w:rsidR="002F0A56" w:rsidRDefault="00FA317F" w:rsidP="00FA317F">
      <w:r>
        <w:tab/>
      </w:r>
      <w:r w:rsidR="00743125">
        <w:t>Mælieining:</w:t>
      </w:r>
      <w:r w:rsidR="00743125">
        <w:tab/>
        <w:t>kg</w:t>
      </w:r>
    </w:p>
    <w:p w14:paraId="33E578D5" w14:textId="77777777" w:rsidR="005C4CCD" w:rsidRPr="00743125" w:rsidRDefault="005C4CCD" w:rsidP="00743125"/>
    <w:p w14:paraId="33E578D6" w14:textId="77777777" w:rsidR="002F0A56" w:rsidRPr="002026BC" w:rsidRDefault="005C4CCD" w:rsidP="002F0A56">
      <w:pPr>
        <w:pStyle w:val="Kaflafyrirsagnir"/>
      </w:pPr>
      <w:bookmarkStart w:id="3" w:name="_Toc533158880"/>
      <w:r>
        <w:t>84.312</w:t>
      </w:r>
      <w:r w:rsidR="002F0A56">
        <w:t xml:space="preserve">  </w:t>
      </w:r>
      <w:r>
        <w:t>Járnalögn í stoðveggi</w:t>
      </w:r>
      <w:bookmarkEnd w:id="3"/>
    </w:p>
    <w:p w14:paraId="33E578D7" w14:textId="77777777" w:rsidR="005C4CCD" w:rsidRDefault="005C4CCD" w:rsidP="00FA317F">
      <w:pPr>
        <w:ind w:left="1134" w:hanging="283"/>
        <w:rPr>
          <w:i/>
          <w:color w:val="4F81BD" w:themeColor="accent1"/>
        </w:rPr>
      </w:pPr>
      <w:r w:rsidRPr="00FA317F">
        <w:rPr>
          <w:b/>
        </w:rPr>
        <w:t>a)</w:t>
      </w:r>
      <w:r w:rsidRPr="00831D1B">
        <w:tab/>
      </w:r>
      <w:r w:rsidR="00FA317F">
        <w:t xml:space="preserve">Um er að ræða </w:t>
      </w:r>
      <w:r>
        <w:t xml:space="preserve">allan kostnað, efni, vinnu og flutning efnis vegna </w:t>
      </w:r>
      <w:proofErr w:type="spellStart"/>
      <w:r>
        <w:t>slakbentrar</w:t>
      </w:r>
      <w:proofErr w:type="spellEnd"/>
      <w:r>
        <w:t xml:space="preserve"> járnalagnar í stoðveggi</w:t>
      </w:r>
      <w:r w:rsidR="00FA317F" w:rsidRPr="00902305">
        <w:rPr>
          <w:i/>
          <w:color w:val="4F81BD" w:themeColor="accent1"/>
        </w:rPr>
        <w:t>[nánari lýsing]</w:t>
      </w:r>
      <w:r w:rsidR="007C304F">
        <w:rPr>
          <w:i/>
          <w:color w:val="4F81BD" w:themeColor="accent1"/>
        </w:rPr>
        <w:t>.</w:t>
      </w:r>
    </w:p>
    <w:p w14:paraId="33E578D8" w14:textId="77777777" w:rsidR="005C4CCD" w:rsidRPr="007A12AC" w:rsidRDefault="005C4CCD" w:rsidP="00FA317F">
      <w:r w:rsidRPr="00FA317F">
        <w:rPr>
          <w:b/>
        </w:rPr>
        <w:t>f)</w:t>
      </w:r>
      <w:r w:rsidRPr="00FA317F">
        <w:rPr>
          <w:b/>
        </w:rPr>
        <w:tab/>
      </w:r>
      <w:r>
        <w:t>Uppgjör miðast við magn fullfrágenginnar</w:t>
      </w:r>
      <w:r w:rsidR="00E81C42">
        <w:t>,</w:t>
      </w:r>
      <w:r>
        <w:t xml:space="preserve"> </w:t>
      </w:r>
      <w:proofErr w:type="spellStart"/>
      <w:r>
        <w:t>slakbentrar</w:t>
      </w:r>
      <w:proofErr w:type="spellEnd"/>
      <w:r>
        <w:t xml:space="preserve"> járnalagnar</w:t>
      </w:r>
      <w:r w:rsidR="007C304F">
        <w:t>,</w:t>
      </w:r>
      <w:r>
        <w:t xml:space="preserve"> skv. járnaskrá.</w:t>
      </w:r>
    </w:p>
    <w:p w14:paraId="33E578D9" w14:textId="77777777" w:rsidR="005C4CCD" w:rsidRDefault="00FA317F" w:rsidP="00FA317F">
      <w:r>
        <w:tab/>
      </w:r>
      <w:r w:rsidR="005C4CCD">
        <w:t>Mælieining:</w:t>
      </w:r>
      <w:r w:rsidR="005C4CCD">
        <w:tab/>
        <w:t>kg</w:t>
      </w:r>
    </w:p>
    <w:p w14:paraId="33E578DA" w14:textId="77777777" w:rsidR="005C4CCD" w:rsidRPr="00743125" w:rsidRDefault="005C4CCD" w:rsidP="005C4CCD"/>
    <w:p w14:paraId="33E578DB" w14:textId="77777777" w:rsidR="007A12AC" w:rsidRPr="002026BC" w:rsidRDefault="007A12AC" w:rsidP="007A12AC">
      <w:pPr>
        <w:pStyle w:val="Kaflafyrirsagnir"/>
      </w:pPr>
      <w:bookmarkStart w:id="4" w:name="_Toc533158881"/>
      <w:r>
        <w:t>84.</w:t>
      </w:r>
      <w:r w:rsidR="004D0064">
        <w:t>313</w:t>
      </w:r>
      <w:r>
        <w:t xml:space="preserve"> </w:t>
      </w:r>
      <w:r w:rsidR="004D0064">
        <w:t>Járnalögn í stöpla</w:t>
      </w:r>
      <w:bookmarkEnd w:id="4"/>
    </w:p>
    <w:p w14:paraId="33E578DC" w14:textId="77777777" w:rsidR="004D0064" w:rsidRDefault="004D0064" w:rsidP="00FA317F">
      <w:pPr>
        <w:ind w:left="1134" w:hanging="283"/>
        <w:rPr>
          <w:i/>
          <w:color w:val="4F81BD" w:themeColor="accent1"/>
        </w:rPr>
      </w:pPr>
      <w:r w:rsidRPr="00FA317F">
        <w:rPr>
          <w:b/>
        </w:rPr>
        <w:t>a)</w:t>
      </w:r>
      <w:r w:rsidRPr="00831D1B">
        <w:tab/>
      </w:r>
      <w:r w:rsidR="00FA317F">
        <w:t xml:space="preserve">Um er að ræða </w:t>
      </w:r>
      <w:r>
        <w:t xml:space="preserve">allan kostnað, efni, vinnu og flutning efnis vegna </w:t>
      </w:r>
      <w:proofErr w:type="spellStart"/>
      <w:r>
        <w:t>slakbentrar</w:t>
      </w:r>
      <w:proofErr w:type="spellEnd"/>
      <w:r>
        <w:t xml:space="preserve"> járnalagnar í </w:t>
      </w:r>
      <w:proofErr w:type="spellStart"/>
      <w:r>
        <w:t>stöpla</w:t>
      </w:r>
      <w:proofErr w:type="spellEnd"/>
      <w:r w:rsidR="00FA317F">
        <w:t xml:space="preserve"> </w:t>
      </w:r>
      <w:r w:rsidR="00FA317F" w:rsidRPr="00902305">
        <w:rPr>
          <w:i/>
          <w:color w:val="4F81BD" w:themeColor="accent1"/>
        </w:rPr>
        <w:t>[nánari lýsing]</w:t>
      </w:r>
      <w:r w:rsidR="007C304F">
        <w:rPr>
          <w:i/>
          <w:color w:val="4F81BD" w:themeColor="accent1"/>
        </w:rPr>
        <w:t>.</w:t>
      </w:r>
    </w:p>
    <w:p w14:paraId="33E578DD" w14:textId="77777777" w:rsidR="004D0064" w:rsidRPr="007A12AC" w:rsidRDefault="004D0064" w:rsidP="00FA317F">
      <w:r w:rsidRPr="00FA317F">
        <w:rPr>
          <w:b/>
        </w:rPr>
        <w:t>f)</w:t>
      </w:r>
      <w:r w:rsidRPr="00831D1B">
        <w:tab/>
      </w:r>
      <w:r>
        <w:t>Uppgjör miðast við magn fullfrágenginnar</w:t>
      </w:r>
      <w:r w:rsidR="00E81C42">
        <w:t>,</w:t>
      </w:r>
      <w:r>
        <w:t xml:space="preserve"> </w:t>
      </w:r>
      <w:proofErr w:type="spellStart"/>
      <w:r>
        <w:t>slakbentrar</w:t>
      </w:r>
      <w:proofErr w:type="spellEnd"/>
      <w:r>
        <w:t xml:space="preserve"> járnalagnar</w:t>
      </w:r>
      <w:r w:rsidR="007C304F">
        <w:t>,</w:t>
      </w:r>
      <w:r>
        <w:t xml:space="preserve"> skv. járnaskrá.</w:t>
      </w:r>
    </w:p>
    <w:p w14:paraId="33E578DE" w14:textId="77777777" w:rsidR="004D0064" w:rsidRDefault="00FA317F" w:rsidP="00FA317F">
      <w:r>
        <w:lastRenderedPageBreak/>
        <w:tab/>
      </w:r>
      <w:r w:rsidR="004D0064">
        <w:t>Mælieining:</w:t>
      </w:r>
      <w:r w:rsidR="004D0064">
        <w:tab/>
        <w:t>kg</w:t>
      </w:r>
    </w:p>
    <w:p w14:paraId="33E578DF" w14:textId="77777777" w:rsidR="007A12AC" w:rsidRPr="002026BC" w:rsidRDefault="004D0064" w:rsidP="007A12AC">
      <w:pPr>
        <w:pStyle w:val="Kaflafyrirsagnir"/>
      </w:pPr>
      <w:bookmarkStart w:id="5" w:name="_Toc533158882"/>
      <w:r>
        <w:t>84.313</w:t>
      </w:r>
      <w:r w:rsidR="007A12AC">
        <w:t xml:space="preserve">  </w:t>
      </w:r>
      <w:r>
        <w:t>Járnalögn í yfirbyggingu</w:t>
      </w:r>
      <w:bookmarkEnd w:id="5"/>
    </w:p>
    <w:p w14:paraId="33E578E0" w14:textId="77777777" w:rsidR="004D0064" w:rsidRDefault="004D0064" w:rsidP="00FA317F">
      <w:pPr>
        <w:ind w:left="1134" w:hanging="283"/>
        <w:rPr>
          <w:i/>
          <w:color w:val="4F81BD" w:themeColor="accent1"/>
        </w:rPr>
      </w:pPr>
      <w:r w:rsidRPr="00FA317F">
        <w:rPr>
          <w:b/>
        </w:rPr>
        <w:t>a)</w:t>
      </w:r>
      <w:r w:rsidRPr="00831D1B">
        <w:tab/>
      </w:r>
      <w:r w:rsidR="00FA317F">
        <w:t xml:space="preserve">Um er að ræða </w:t>
      </w:r>
      <w:r>
        <w:t xml:space="preserve">allan kostnað, efni, vinnu og flutning efnis vegna </w:t>
      </w:r>
      <w:proofErr w:type="spellStart"/>
      <w:r>
        <w:t>slakbentrar</w:t>
      </w:r>
      <w:proofErr w:type="spellEnd"/>
      <w:r>
        <w:t xml:space="preserve"> járnalagnar í yfirbyggingu</w:t>
      </w:r>
      <w:r w:rsidR="00FA317F">
        <w:t xml:space="preserve"> </w:t>
      </w:r>
      <w:r w:rsidR="00FA317F" w:rsidRPr="00902305">
        <w:rPr>
          <w:i/>
          <w:color w:val="4F81BD" w:themeColor="accent1"/>
        </w:rPr>
        <w:t>[nánari lýsing]</w:t>
      </w:r>
      <w:r>
        <w:t>.</w:t>
      </w:r>
    </w:p>
    <w:p w14:paraId="33E578E1" w14:textId="77777777" w:rsidR="004D0064" w:rsidRPr="007A12AC" w:rsidRDefault="004D0064" w:rsidP="00FA317F">
      <w:r w:rsidRPr="00FA317F">
        <w:rPr>
          <w:b/>
        </w:rPr>
        <w:t>f)</w:t>
      </w:r>
      <w:r w:rsidRPr="00831D1B">
        <w:tab/>
      </w:r>
      <w:r>
        <w:t xml:space="preserve">Uppgjör miðast við magn fullfrágenginnar </w:t>
      </w:r>
      <w:proofErr w:type="spellStart"/>
      <w:r>
        <w:t>slakbentrar</w:t>
      </w:r>
      <w:proofErr w:type="spellEnd"/>
      <w:r>
        <w:t xml:space="preserve"> járnalagnar</w:t>
      </w:r>
      <w:r w:rsidR="007C304F">
        <w:t>,</w:t>
      </w:r>
      <w:r>
        <w:t xml:space="preserve"> skv. járnaskrá.</w:t>
      </w:r>
    </w:p>
    <w:p w14:paraId="33E578E2" w14:textId="77777777" w:rsidR="004D0064" w:rsidRDefault="00FA317F" w:rsidP="00FA317F">
      <w:r>
        <w:tab/>
      </w:r>
      <w:r w:rsidR="004D0064">
        <w:t>Mælieining:</w:t>
      </w:r>
      <w:r w:rsidR="004D0064">
        <w:tab/>
        <w:t>kg</w:t>
      </w:r>
    </w:p>
    <w:p w14:paraId="33E578E3" w14:textId="77777777" w:rsidR="00240582" w:rsidRDefault="00240582" w:rsidP="00240582">
      <w:pPr>
        <w:pStyle w:val="abcflokkar"/>
        <w:tabs>
          <w:tab w:val="left" w:pos="851"/>
          <w:tab w:val="left" w:pos="6622"/>
        </w:tabs>
        <w:rPr>
          <w:color w:val="auto"/>
          <w:sz w:val="24"/>
          <w:szCs w:val="24"/>
        </w:rPr>
      </w:pPr>
    </w:p>
    <w:sectPr w:rsidR="00240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176D" w14:textId="77777777" w:rsidR="0034601B" w:rsidRDefault="0034601B" w:rsidP="005B28DC">
      <w:r>
        <w:separator/>
      </w:r>
    </w:p>
  </w:endnote>
  <w:endnote w:type="continuationSeparator" w:id="0">
    <w:p w14:paraId="0C6E18BE" w14:textId="77777777" w:rsidR="0034601B" w:rsidRDefault="0034601B" w:rsidP="005B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9930" w14:textId="77777777" w:rsidR="008028CA" w:rsidRDefault="00802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027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578E9" w14:textId="77777777" w:rsidR="008B0DB0" w:rsidRDefault="008B0D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E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E578EA" w14:textId="77777777" w:rsidR="005B28DC" w:rsidRDefault="005B2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EEDE" w14:textId="77777777" w:rsidR="008028CA" w:rsidRDefault="00802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FEC7" w14:textId="77777777" w:rsidR="0034601B" w:rsidRDefault="0034601B" w:rsidP="005B28DC">
      <w:r>
        <w:separator/>
      </w:r>
    </w:p>
  </w:footnote>
  <w:footnote w:type="continuationSeparator" w:id="0">
    <w:p w14:paraId="783A3360" w14:textId="77777777" w:rsidR="0034601B" w:rsidRDefault="0034601B" w:rsidP="005B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5592" w14:textId="77777777" w:rsidR="008028CA" w:rsidRDefault="008028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78E8" w14:textId="77777777" w:rsidR="008B0DB0" w:rsidRDefault="008B0DB0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DA5241">
      <w:t>2</w:t>
    </w:r>
    <w:r w:rsidR="00C85EB0">
      <w:t>1</w:t>
    </w:r>
    <w:r w:rsidR="00DA5241">
      <w:t>.</w:t>
    </w:r>
    <w:r w:rsidR="00C85EB0">
      <w:t>03</w:t>
    </w:r>
    <w:r w:rsidR="00DA5241">
      <w:t>.</w:t>
    </w:r>
    <w:r w:rsidR="00C85EB0">
      <w:t>2019</w:t>
    </w:r>
  </w:p>
  <w:p w14:paraId="175EF840" w14:textId="7DFDB75E" w:rsidR="008028CA" w:rsidRDefault="008028CA" w:rsidP="008028CA">
    <w:pPr>
      <w:pStyle w:val="Header"/>
      <w:jc w:val="center"/>
    </w:pPr>
    <w:r>
      <w:t>SNI-3401, 84.31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2DC7" w14:textId="77777777" w:rsidR="008028CA" w:rsidRDefault="00802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4B94"/>
    <w:multiLevelType w:val="hybridMultilevel"/>
    <w:tmpl w:val="1E6C6E7C"/>
    <w:lvl w:ilvl="0" w:tplc="040F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57232"/>
    <w:multiLevelType w:val="hybridMultilevel"/>
    <w:tmpl w:val="7C66EB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F0019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7F51F0"/>
    <w:multiLevelType w:val="hybridMultilevel"/>
    <w:tmpl w:val="00FE8A7E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5029C"/>
    <w:multiLevelType w:val="hybridMultilevel"/>
    <w:tmpl w:val="67721292"/>
    <w:lvl w:ilvl="0" w:tplc="040F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EA"/>
    <w:rsid w:val="000161C2"/>
    <w:rsid w:val="00022237"/>
    <w:rsid w:val="00022870"/>
    <w:rsid w:val="00031111"/>
    <w:rsid w:val="00036545"/>
    <w:rsid w:val="00046D0F"/>
    <w:rsid w:val="00057F6D"/>
    <w:rsid w:val="0007043D"/>
    <w:rsid w:val="00077A69"/>
    <w:rsid w:val="000A004C"/>
    <w:rsid w:val="000B40B1"/>
    <w:rsid w:val="000B7FAC"/>
    <w:rsid w:val="000C3F14"/>
    <w:rsid w:val="000F158D"/>
    <w:rsid w:val="001145FB"/>
    <w:rsid w:val="00126B40"/>
    <w:rsid w:val="00126F32"/>
    <w:rsid w:val="00135457"/>
    <w:rsid w:val="001664A5"/>
    <w:rsid w:val="001668D2"/>
    <w:rsid w:val="001714CA"/>
    <w:rsid w:val="00173F0B"/>
    <w:rsid w:val="0019062D"/>
    <w:rsid w:val="001917F8"/>
    <w:rsid w:val="001926DE"/>
    <w:rsid w:val="001A4384"/>
    <w:rsid w:val="001C2A54"/>
    <w:rsid w:val="001D0C45"/>
    <w:rsid w:val="00201B62"/>
    <w:rsid w:val="002026BC"/>
    <w:rsid w:val="002331FB"/>
    <w:rsid w:val="00235848"/>
    <w:rsid w:val="00240582"/>
    <w:rsid w:val="00245F06"/>
    <w:rsid w:val="0025499D"/>
    <w:rsid w:val="0026377F"/>
    <w:rsid w:val="0026403E"/>
    <w:rsid w:val="002715CB"/>
    <w:rsid w:val="00271A12"/>
    <w:rsid w:val="00271C3E"/>
    <w:rsid w:val="002926BC"/>
    <w:rsid w:val="002E0CF7"/>
    <w:rsid w:val="002E3A9A"/>
    <w:rsid w:val="002E76AA"/>
    <w:rsid w:val="002F0A56"/>
    <w:rsid w:val="0030380E"/>
    <w:rsid w:val="003260A9"/>
    <w:rsid w:val="00331741"/>
    <w:rsid w:val="0034601B"/>
    <w:rsid w:val="0035071B"/>
    <w:rsid w:val="0035498C"/>
    <w:rsid w:val="00380BC6"/>
    <w:rsid w:val="00387841"/>
    <w:rsid w:val="00387BC7"/>
    <w:rsid w:val="00393D1A"/>
    <w:rsid w:val="003A50EC"/>
    <w:rsid w:val="003B3E30"/>
    <w:rsid w:val="003C15D1"/>
    <w:rsid w:val="003C38BF"/>
    <w:rsid w:val="003C60F3"/>
    <w:rsid w:val="003D375F"/>
    <w:rsid w:val="003D3F3A"/>
    <w:rsid w:val="003E2A79"/>
    <w:rsid w:val="003F28F8"/>
    <w:rsid w:val="003F7950"/>
    <w:rsid w:val="004120D7"/>
    <w:rsid w:val="00420A85"/>
    <w:rsid w:val="00431C33"/>
    <w:rsid w:val="004326BC"/>
    <w:rsid w:val="0043568B"/>
    <w:rsid w:val="00454C6A"/>
    <w:rsid w:val="0046145C"/>
    <w:rsid w:val="004665E4"/>
    <w:rsid w:val="00472DA6"/>
    <w:rsid w:val="004A06C4"/>
    <w:rsid w:val="004A256B"/>
    <w:rsid w:val="004A3BAD"/>
    <w:rsid w:val="004B3990"/>
    <w:rsid w:val="004D0064"/>
    <w:rsid w:val="004D70EE"/>
    <w:rsid w:val="004F2C0B"/>
    <w:rsid w:val="004F7D40"/>
    <w:rsid w:val="005031C4"/>
    <w:rsid w:val="00512862"/>
    <w:rsid w:val="00533D3B"/>
    <w:rsid w:val="005A0E00"/>
    <w:rsid w:val="005A1DE8"/>
    <w:rsid w:val="005B28DC"/>
    <w:rsid w:val="005C03BC"/>
    <w:rsid w:val="005C4CCD"/>
    <w:rsid w:val="005D14EF"/>
    <w:rsid w:val="005D5DED"/>
    <w:rsid w:val="005F4B5C"/>
    <w:rsid w:val="005F6F3C"/>
    <w:rsid w:val="006017A5"/>
    <w:rsid w:val="0060456D"/>
    <w:rsid w:val="00611EAB"/>
    <w:rsid w:val="006168E2"/>
    <w:rsid w:val="0066496B"/>
    <w:rsid w:val="006A5154"/>
    <w:rsid w:val="006C2624"/>
    <w:rsid w:val="006D01F5"/>
    <w:rsid w:val="006E4BE0"/>
    <w:rsid w:val="00707CF6"/>
    <w:rsid w:val="00711E74"/>
    <w:rsid w:val="00716697"/>
    <w:rsid w:val="0072357B"/>
    <w:rsid w:val="00741FA5"/>
    <w:rsid w:val="00743125"/>
    <w:rsid w:val="007602E0"/>
    <w:rsid w:val="0079261B"/>
    <w:rsid w:val="00794718"/>
    <w:rsid w:val="007A12AC"/>
    <w:rsid w:val="007A1B0C"/>
    <w:rsid w:val="007B562E"/>
    <w:rsid w:val="007C304F"/>
    <w:rsid w:val="007C3590"/>
    <w:rsid w:val="007C5C3E"/>
    <w:rsid w:val="007D174A"/>
    <w:rsid w:val="007F04C2"/>
    <w:rsid w:val="007F5C04"/>
    <w:rsid w:val="008028CA"/>
    <w:rsid w:val="00810A03"/>
    <w:rsid w:val="00815DA9"/>
    <w:rsid w:val="008207EA"/>
    <w:rsid w:val="00831D1B"/>
    <w:rsid w:val="00835C18"/>
    <w:rsid w:val="00840C24"/>
    <w:rsid w:val="008507E2"/>
    <w:rsid w:val="00874F2F"/>
    <w:rsid w:val="00877AC8"/>
    <w:rsid w:val="008959AA"/>
    <w:rsid w:val="00897BD8"/>
    <w:rsid w:val="008B0DB0"/>
    <w:rsid w:val="008B1D2A"/>
    <w:rsid w:val="008B61F2"/>
    <w:rsid w:val="008B75CA"/>
    <w:rsid w:val="008C4212"/>
    <w:rsid w:val="008D7DEC"/>
    <w:rsid w:val="008E766B"/>
    <w:rsid w:val="008F414A"/>
    <w:rsid w:val="00957BC2"/>
    <w:rsid w:val="00960925"/>
    <w:rsid w:val="009645D8"/>
    <w:rsid w:val="00982B8F"/>
    <w:rsid w:val="009B69C1"/>
    <w:rsid w:val="009C6016"/>
    <w:rsid w:val="009D0FBF"/>
    <w:rsid w:val="009D5B28"/>
    <w:rsid w:val="00A1683D"/>
    <w:rsid w:val="00A16B49"/>
    <w:rsid w:val="00A31A6B"/>
    <w:rsid w:val="00A35456"/>
    <w:rsid w:val="00A44494"/>
    <w:rsid w:val="00A60521"/>
    <w:rsid w:val="00A756BE"/>
    <w:rsid w:val="00A81C00"/>
    <w:rsid w:val="00A849B9"/>
    <w:rsid w:val="00A93D05"/>
    <w:rsid w:val="00AB7A51"/>
    <w:rsid w:val="00AC1591"/>
    <w:rsid w:val="00B0275D"/>
    <w:rsid w:val="00B12621"/>
    <w:rsid w:val="00B151FD"/>
    <w:rsid w:val="00B17689"/>
    <w:rsid w:val="00B200D5"/>
    <w:rsid w:val="00B31FC4"/>
    <w:rsid w:val="00B511A7"/>
    <w:rsid w:val="00B7105D"/>
    <w:rsid w:val="00B85A68"/>
    <w:rsid w:val="00B97DF6"/>
    <w:rsid w:val="00BE1F07"/>
    <w:rsid w:val="00BF1BFF"/>
    <w:rsid w:val="00C26B23"/>
    <w:rsid w:val="00C30E00"/>
    <w:rsid w:val="00C30E6D"/>
    <w:rsid w:val="00C51C4B"/>
    <w:rsid w:val="00C54BDB"/>
    <w:rsid w:val="00C73C64"/>
    <w:rsid w:val="00C77039"/>
    <w:rsid w:val="00C82289"/>
    <w:rsid w:val="00C85EB0"/>
    <w:rsid w:val="00C91C69"/>
    <w:rsid w:val="00CA6C24"/>
    <w:rsid w:val="00CA7E5B"/>
    <w:rsid w:val="00CB72B4"/>
    <w:rsid w:val="00CC5B7A"/>
    <w:rsid w:val="00CD656E"/>
    <w:rsid w:val="00CD7B2C"/>
    <w:rsid w:val="00CE2E5D"/>
    <w:rsid w:val="00CE5793"/>
    <w:rsid w:val="00D05DC8"/>
    <w:rsid w:val="00D27597"/>
    <w:rsid w:val="00D3051C"/>
    <w:rsid w:val="00D43DCA"/>
    <w:rsid w:val="00D56934"/>
    <w:rsid w:val="00D64CDA"/>
    <w:rsid w:val="00D66C43"/>
    <w:rsid w:val="00D70309"/>
    <w:rsid w:val="00D70E32"/>
    <w:rsid w:val="00D7208D"/>
    <w:rsid w:val="00D73D43"/>
    <w:rsid w:val="00D75C81"/>
    <w:rsid w:val="00D9717F"/>
    <w:rsid w:val="00DA5241"/>
    <w:rsid w:val="00DB01C5"/>
    <w:rsid w:val="00DB56C8"/>
    <w:rsid w:val="00DC1D09"/>
    <w:rsid w:val="00DC3AA5"/>
    <w:rsid w:val="00DD45B9"/>
    <w:rsid w:val="00DD48F8"/>
    <w:rsid w:val="00DE0745"/>
    <w:rsid w:val="00E207CA"/>
    <w:rsid w:val="00E23E7A"/>
    <w:rsid w:val="00E2572E"/>
    <w:rsid w:val="00E5086E"/>
    <w:rsid w:val="00E55C08"/>
    <w:rsid w:val="00E60FB5"/>
    <w:rsid w:val="00E62954"/>
    <w:rsid w:val="00E65154"/>
    <w:rsid w:val="00E71AEA"/>
    <w:rsid w:val="00E81C42"/>
    <w:rsid w:val="00E84E0C"/>
    <w:rsid w:val="00EA0799"/>
    <w:rsid w:val="00ED0CD1"/>
    <w:rsid w:val="00ED68C9"/>
    <w:rsid w:val="00EE0471"/>
    <w:rsid w:val="00EE639F"/>
    <w:rsid w:val="00EE65FD"/>
    <w:rsid w:val="00EF08E5"/>
    <w:rsid w:val="00EF665D"/>
    <w:rsid w:val="00EF7607"/>
    <w:rsid w:val="00F007F4"/>
    <w:rsid w:val="00F13BCD"/>
    <w:rsid w:val="00F32EA3"/>
    <w:rsid w:val="00F42318"/>
    <w:rsid w:val="00F47032"/>
    <w:rsid w:val="00F77902"/>
    <w:rsid w:val="00F80AB2"/>
    <w:rsid w:val="00F90AB5"/>
    <w:rsid w:val="00FA1C95"/>
    <w:rsid w:val="00FA317F"/>
    <w:rsid w:val="00FA4F78"/>
    <w:rsid w:val="00FA6B36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7876"/>
  <w15:docId w15:val="{761DA4BF-AEDD-44CE-80B3-FE2E461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2026BC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7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">
    <w:name w:val="abc flokkar"/>
    <w:basedOn w:val="Normal"/>
    <w:link w:val="abcflokkarChar"/>
    <w:rsid w:val="008207EA"/>
    <w:pPr>
      <w:spacing w:line="240" w:lineRule="atLeast"/>
      <w:jc w:val="both"/>
    </w:pPr>
    <w:rPr>
      <w:color w:val="000000"/>
      <w:sz w:val="20"/>
      <w:szCs w:val="20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2026BC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color w:val="auto"/>
      <w:kern w:val="32"/>
      <w:sz w:val="24"/>
      <w:szCs w:val="32"/>
      <w:lang w:eastAsia="is-IS"/>
    </w:rPr>
  </w:style>
  <w:style w:type="character" w:customStyle="1" w:styleId="abcflokkarChar">
    <w:name w:val="abc flokkar Char"/>
    <w:link w:val="abcflokkar"/>
    <w:rsid w:val="008207E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aflafyrirsagnirChar">
    <w:name w:val="Kaflafyrirsagnir Char"/>
    <w:link w:val="Kaflafyrirsagnir"/>
    <w:rsid w:val="002026BC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customStyle="1" w:styleId="abctafla">
    <w:name w:val="abc tafla"/>
    <w:basedOn w:val="abcflokkar"/>
    <w:next w:val="abcflokkar"/>
    <w:rsid w:val="008207EA"/>
    <w:pPr>
      <w:spacing w:after="0" w:line="240" w:lineRule="auto"/>
    </w:pPr>
    <w:rPr>
      <w:color w:val="auto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2026BC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7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7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-fyrirsagnirChar">
    <w:name w:val="Lið-fyrirsagnir Char"/>
    <w:basedOn w:val="DefaultParagraphFont"/>
    <w:link w:val="Li-fyrirsagnir"/>
    <w:rsid w:val="002026B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166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66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C7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F5C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28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8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8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8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B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verkþáttur"/>
    <w:uiPriority w:val="1"/>
    <w:qFormat/>
    <w:rsid w:val="002026BC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2026BC"/>
    <w:pPr>
      <w:tabs>
        <w:tab w:val="clear" w:pos="1134"/>
      </w:tabs>
      <w:spacing w:before="240" w:after="0" w:line="259" w:lineRule="auto"/>
      <w:ind w:left="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026BC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2026BC"/>
    <w:rPr>
      <w:color w:val="0000FF" w:themeColor="hyperlink"/>
      <w:u w:val="single"/>
    </w:rPr>
  </w:style>
  <w:style w:type="paragraph" w:customStyle="1" w:styleId="Liurtexti">
    <w:name w:val="Liður texti"/>
    <w:basedOn w:val="Normal"/>
    <w:link w:val="LiurtextiChar"/>
    <w:autoRedefine/>
    <w:qFormat/>
    <w:rsid w:val="007A12AC"/>
    <w:pPr>
      <w:widowControl w:val="0"/>
      <w:tabs>
        <w:tab w:val="clear" w:pos="1134"/>
      </w:tabs>
      <w:kinsoku w:val="0"/>
      <w:autoSpaceDE w:val="0"/>
      <w:autoSpaceDN w:val="0"/>
      <w:adjustRightInd w:val="0"/>
      <w:spacing w:after="60"/>
      <w:ind w:right="425"/>
      <w:jc w:val="both"/>
    </w:pPr>
    <w:rPr>
      <w:rFonts w:eastAsia="Times" w:cs="Times New Roman"/>
      <w:bCs/>
      <w:noProof/>
      <w:szCs w:val="24"/>
      <w:lang w:eastAsia="is-IS"/>
    </w:rPr>
  </w:style>
  <w:style w:type="character" w:customStyle="1" w:styleId="LiurtextiChar">
    <w:name w:val="Liður texti Char"/>
    <w:basedOn w:val="DefaultParagraphFont"/>
    <w:link w:val="Liurtexti"/>
    <w:locked/>
    <w:rsid w:val="007A12AC"/>
    <w:rPr>
      <w:rFonts w:ascii="Times New Roman" w:eastAsia="Times" w:hAnsi="Times New Roman" w:cs="Times New Roman"/>
      <w:bCs/>
      <w:noProof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4FCD-D764-4834-A5BA-E53F77FB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Gísli Gíslason</dc:creator>
  <cp:lastModifiedBy>Gísli Gíslason - VG</cp:lastModifiedBy>
  <cp:revision>2</cp:revision>
  <cp:lastPrinted>2016-03-31T09:27:00Z</cp:lastPrinted>
  <dcterms:created xsi:type="dcterms:W3CDTF">2023-05-12T13:25:00Z</dcterms:created>
  <dcterms:modified xsi:type="dcterms:W3CDTF">2023-05-12T13:25:00Z</dcterms:modified>
</cp:coreProperties>
</file>