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273542479" w:displacedByCustomXml="next"/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val="is-IS"/>
        </w:rPr>
        <w:id w:val="-3437822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6F1EF01" w14:textId="77777777" w:rsidR="008B0DB0" w:rsidRPr="008B0DB0" w:rsidRDefault="008B0DB0">
          <w:pPr>
            <w:pStyle w:val="TOCHeading"/>
            <w:rPr>
              <w:b/>
              <w:color w:val="auto"/>
            </w:rPr>
          </w:pPr>
          <w:r w:rsidRPr="008B0DB0">
            <w:rPr>
              <w:b/>
              <w:color w:val="auto"/>
            </w:rPr>
            <w:t>Efnisyfirlit</w:t>
          </w:r>
        </w:p>
        <w:p w14:paraId="76F1EF02" w14:textId="77777777" w:rsidR="001F2BF1" w:rsidRDefault="008B0DB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3158800" w:history="1">
            <w:r w:rsidR="001F2BF1" w:rsidRPr="00B12CD4">
              <w:rPr>
                <w:rStyle w:val="Hyperlink"/>
                <w:noProof/>
              </w:rPr>
              <w:t>Mót - Almenn lýsing</w:t>
            </w:r>
            <w:r w:rsidR="001F2BF1">
              <w:rPr>
                <w:noProof/>
                <w:webHidden/>
              </w:rPr>
              <w:tab/>
            </w:r>
            <w:r w:rsidR="001F2BF1">
              <w:rPr>
                <w:noProof/>
                <w:webHidden/>
              </w:rPr>
              <w:fldChar w:fldCharType="begin"/>
            </w:r>
            <w:r w:rsidR="001F2BF1">
              <w:rPr>
                <w:noProof/>
                <w:webHidden/>
              </w:rPr>
              <w:instrText xml:space="preserve"> PAGEREF _Toc533158800 \h </w:instrText>
            </w:r>
            <w:r w:rsidR="001F2BF1">
              <w:rPr>
                <w:noProof/>
                <w:webHidden/>
              </w:rPr>
            </w:r>
            <w:r w:rsidR="001F2BF1">
              <w:rPr>
                <w:noProof/>
                <w:webHidden/>
              </w:rPr>
              <w:fldChar w:fldCharType="separate"/>
            </w:r>
            <w:r w:rsidR="001F2BF1">
              <w:rPr>
                <w:noProof/>
                <w:webHidden/>
              </w:rPr>
              <w:t>1</w:t>
            </w:r>
            <w:r w:rsidR="001F2BF1">
              <w:rPr>
                <w:noProof/>
                <w:webHidden/>
              </w:rPr>
              <w:fldChar w:fldCharType="end"/>
            </w:r>
          </w:hyperlink>
        </w:p>
        <w:p w14:paraId="76F1EF03" w14:textId="77777777" w:rsidR="001F2BF1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33158801" w:history="1">
            <w:r w:rsidR="001F2BF1" w:rsidRPr="00B12CD4">
              <w:rPr>
                <w:rStyle w:val="Hyperlink"/>
                <w:noProof/>
              </w:rPr>
              <w:t>84.2  Mót</w:t>
            </w:r>
            <w:r w:rsidR="001F2BF1">
              <w:rPr>
                <w:noProof/>
                <w:webHidden/>
              </w:rPr>
              <w:tab/>
            </w:r>
            <w:r w:rsidR="001F2BF1">
              <w:rPr>
                <w:noProof/>
                <w:webHidden/>
              </w:rPr>
              <w:fldChar w:fldCharType="begin"/>
            </w:r>
            <w:r w:rsidR="001F2BF1">
              <w:rPr>
                <w:noProof/>
                <w:webHidden/>
              </w:rPr>
              <w:instrText xml:space="preserve"> PAGEREF _Toc533158801 \h </w:instrText>
            </w:r>
            <w:r w:rsidR="001F2BF1">
              <w:rPr>
                <w:noProof/>
                <w:webHidden/>
              </w:rPr>
            </w:r>
            <w:r w:rsidR="001F2BF1">
              <w:rPr>
                <w:noProof/>
                <w:webHidden/>
              </w:rPr>
              <w:fldChar w:fldCharType="separate"/>
            </w:r>
            <w:r w:rsidR="001F2BF1">
              <w:rPr>
                <w:noProof/>
                <w:webHidden/>
              </w:rPr>
              <w:t>3</w:t>
            </w:r>
            <w:r w:rsidR="001F2BF1">
              <w:rPr>
                <w:noProof/>
                <w:webHidden/>
              </w:rPr>
              <w:fldChar w:fldCharType="end"/>
            </w:r>
          </w:hyperlink>
        </w:p>
        <w:p w14:paraId="76F1EF04" w14:textId="77777777" w:rsidR="001F2BF1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33158802" w:history="1">
            <w:r w:rsidR="001F2BF1" w:rsidRPr="00B12CD4">
              <w:rPr>
                <w:rStyle w:val="Hyperlink"/>
                <w:noProof/>
              </w:rPr>
              <w:t>84.21  Mót sökkla</w:t>
            </w:r>
            <w:r w:rsidR="001F2BF1">
              <w:rPr>
                <w:noProof/>
                <w:webHidden/>
              </w:rPr>
              <w:tab/>
            </w:r>
            <w:r w:rsidR="001F2BF1">
              <w:rPr>
                <w:noProof/>
                <w:webHidden/>
              </w:rPr>
              <w:fldChar w:fldCharType="begin"/>
            </w:r>
            <w:r w:rsidR="001F2BF1">
              <w:rPr>
                <w:noProof/>
                <w:webHidden/>
              </w:rPr>
              <w:instrText xml:space="preserve"> PAGEREF _Toc533158802 \h </w:instrText>
            </w:r>
            <w:r w:rsidR="001F2BF1">
              <w:rPr>
                <w:noProof/>
                <w:webHidden/>
              </w:rPr>
            </w:r>
            <w:r w:rsidR="001F2BF1">
              <w:rPr>
                <w:noProof/>
                <w:webHidden/>
              </w:rPr>
              <w:fldChar w:fldCharType="separate"/>
            </w:r>
            <w:r w:rsidR="001F2BF1">
              <w:rPr>
                <w:noProof/>
                <w:webHidden/>
              </w:rPr>
              <w:t>3</w:t>
            </w:r>
            <w:r w:rsidR="001F2BF1">
              <w:rPr>
                <w:noProof/>
                <w:webHidden/>
              </w:rPr>
              <w:fldChar w:fldCharType="end"/>
            </w:r>
          </w:hyperlink>
        </w:p>
        <w:p w14:paraId="76F1EF05" w14:textId="77777777" w:rsidR="001F2BF1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33158803" w:history="1">
            <w:r w:rsidR="001F2BF1" w:rsidRPr="00B12CD4">
              <w:rPr>
                <w:rStyle w:val="Hyperlink"/>
                <w:noProof/>
              </w:rPr>
              <w:t>84.22 Mót stoðveggja</w:t>
            </w:r>
            <w:r w:rsidR="001F2BF1">
              <w:rPr>
                <w:noProof/>
                <w:webHidden/>
              </w:rPr>
              <w:tab/>
            </w:r>
            <w:r w:rsidR="001F2BF1">
              <w:rPr>
                <w:noProof/>
                <w:webHidden/>
              </w:rPr>
              <w:fldChar w:fldCharType="begin"/>
            </w:r>
            <w:r w:rsidR="001F2BF1">
              <w:rPr>
                <w:noProof/>
                <w:webHidden/>
              </w:rPr>
              <w:instrText xml:space="preserve"> PAGEREF _Toc533158803 \h </w:instrText>
            </w:r>
            <w:r w:rsidR="001F2BF1">
              <w:rPr>
                <w:noProof/>
                <w:webHidden/>
              </w:rPr>
            </w:r>
            <w:r w:rsidR="001F2BF1">
              <w:rPr>
                <w:noProof/>
                <w:webHidden/>
              </w:rPr>
              <w:fldChar w:fldCharType="separate"/>
            </w:r>
            <w:r w:rsidR="001F2BF1">
              <w:rPr>
                <w:noProof/>
                <w:webHidden/>
              </w:rPr>
              <w:t>3</w:t>
            </w:r>
            <w:r w:rsidR="001F2BF1">
              <w:rPr>
                <w:noProof/>
                <w:webHidden/>
              </w:rPr>
              <w:fldChar w:fldCharType="end"/>
            </w:r>
          </w:hyperlink>
        </w:p>
        <w:p w14:paraId="76F1EF06" w14:textId="77777777" w:rsidR="001F2BF1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33158804" w:history="1">
            <w:r w:rsidR="001F2BF1" w:rsidRPr="00B12CD4">
              <w:rPr>
                <w:rStyle w:val="Hyperlink"/>
                <w:noProof/>
              </w:rPr>
              <w:t>84.23  Mót stöpla</w:t>
            </w:r>
            <w:r w:rsidR="001F2BF1">
              <w:rPr>
                <w:noProof/>
                <w:webHidden/>
              </w:rPr>
              <w:tab/>
            </w:r>
            <w:r w:rsidR="001F2BF1">
              <w:rPr>
                <w:noProof/>
                <w:webHidden/>
              </w:rPr>
              <w:fldChar w:fldCharType="begin"/>
            </w:r>
            <w:r w:rsidR="001F2BF1">
              <w:rPr>
                <w:noProof/>
                <w:webHidden/>
              </w:rPr>
              <w:instrText xml:space="preserve"> PAGEREF _Toc533158804 \h </w:instrText>
            </w:r>
            <w:r w:rsidR="001F2BF1">
              <w:rPr>
                <w:noProof/>
                <w:webHidden/>
              </w:rPr>
            </w:r>
            <w:r w:rsidR="001F2BF1">
              <w:rPr>
                <w:noProof/>
                <w:webHidden/>
              </w:rPr>
              <w:fldChar w:fldCharType="separate"/>
            </w:r>
            <w:r w:rsidR="001F2BF1">
              <w:rPr>
                <w:noProof/>
                <w:webHidden/>
              </w:rPr>
              <w:t>4</w:t>
            </w:r>
            <w:r w:rsidR="001F2BF1">
              <w:rPr>
                <w:noProof/>
                <w:webHidden/>
              </w:rPr>
              <w:fldChar w:fldCharType="end"/>
            </w:r>
          </w:hyperlink>
        </w:p>
        <w:p w14:paraId="76F1EF07" w14:textId="77777777" w:rsidR="001F2BF1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33158805" w:history="1">
            <w:r w:rsidR="001F2BF1" w:rsidRPr="00B12CD4">
              <w:rPr>
                <w:rStyle w:val="Hyperlink"/>
                <w:noProof/>
              </w:rPr>
              <w:t>84.24  Mót landstöpla með steyptri akbraut</w:t>
            </w:r>
            <w:r w:rsidR="001F2BF1">
              <w:rPr>
                <w:noProof/>
                <w:webHidden/>
              </w:rPr>
              <w:tab/>
            </w:r>
            <w:r w:rsidR="001F2BF1">
              <w:rPr>
                <w:noProof/>
                <w:webHidden/>
              </w:rPr>
              <w:fldChar w:fldCharType="begin"/>
            </w:r>
            <w:r w:rsidR="001F2BF1">
              <w:rPr>
                <w:noProof/>
                <w:webHidden/>
              </w:rPr>
              <w:instrText xml:space="preserve"> PAGEREF _Toc533158805 \h </w:instrText>
            </w:r>
            <w:r w:rsidR="001F2BF1">
              <w:rPr>
                <w:noProof/>
                <w:webHidden/>
              </w:rPr>
            </w:r>
            <w:r w:rsidR="001F2BF1">
              <w:rPr>
                <w:noProof/>
                <w:webHidden/>
              </w:rPr>
              <w:fldChar w:fldCharType="separate"/>
            </w:r>
            <w:r w:rsidR="001F2BF1">
              <w:rPr>
                <w:noProof/>
                <w:webHidden/>
              </w:rPr>
              <w:t>4</w:t>
            </w:r>
            <w:r w:rsidR="001F2BF1">
              <w:rPr>
                <w:noProof/>
                <w:webHidden/>
              </w:rPr>
              <w:fldChar w:fldCharType="end"/>
            </w:r>
          </w:hyperlink>
        </w:p>
        <w:p w14:paraId="76F1EF08" w14:textId="77777777" w:rsidR="001F2BF1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33158806" w:history="1">
            <w:r w:rsidR="001F2BF1" w:rsidRPr="00B12CD4">
              <w:rPr>
                <w:rStyle w:val="Hyperlink"/>
                <w:noProof/>
              </w:rPr>
              <w:t>84.25  Mót yfirbygginga</w:t>
            </w:r>
            <w:r w:rsidR="001F2BF1">
              <w:rPr>
                <w:noProof/>
                <w:webHidden/>
              </w:rPr>
              <w:tab/>
            </w:r>
            <w:r w:rsidR="001F2BF1">
              <w:rPr>
                <w:noProof/>
                <w:webHidden/>
              </w:rPr>
              <w:fldChar w:fldCharType="begin"/>
            </w:r>
            <w:r w:rsidR="001F2BF1">
              <w:rPr>
                <w:noProof/>
                <w:webHidden/>
              </w:rPr>
              <w:instrText xml:space="preserve"> PAGEREF _Toc533158806 \h </w:instrText>
            </w:r>
            <w:r w:rsidR="001F2BF1">
              <w:rPr>
                <w:noProof/>
                <w:webHidden/>
              </w:rPr>
            </w:r>
            <w:r w:rsidR="001F2BF1">
              <w:rPr>
                <w:noProof/>
                <w:webHidden/>
              </w:rPr>
              <w:fldChar w:fldCharType="separate"/>
            </w:r>
            <w:r w:rsidR="001F2BF1">
              <w:rPr>
                <w:noProof/>
                <w:webHidden/>
              </w:rPr>
              <w:t>4</w:t>
            </w:r>
            <w:r w:rsidR="001F2BF1">
              <w:rPr>
                <w:noProof/>
                <w:webHidden/>
              </w:rPr>
              <w:fldChar w:fldCharType="end"/>
            </w:r>
          </w:hyperlink>
        </w:p>
        <w:p w14:paraId="76F1EF09" w14:textId="77777777" w:rsidR="001F2BF1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33158807" w:history="1">
            <w:r w:rsidR="001F2BF1" w:rsidRPr="00B12CD4">
              <w:rPr>
                <w:rStyle w:val="Hyperlink"/>
                <w:noProof/>
              </w:rPr>
              <w:t>84.251  Mót plötubrúa</w:t>
            </w:r>
            <w:r w:rsidR="001F2BF1">
              <w:rPr>
                <w:noProof/>
                <w:webHidden/>
              </w:rPr>
              <w:tab/>
            </w:r>
            <w:r w:rsidR="001F2BF1">
              <w:rPr>
                <w:noProof/>
                <w:webHidden/>
              </w:rPr>
              <w:fldChar w:fldCharType="begin"/>
            </w:r>
            <w:r w:rsidR="001F2BF1">
              <w:rPr>
                <w:noProof/>
                <w:webHidden/>
              </w:rPr>
              <w:instrText xml:space="preserve"> PAGEREF _Toc533158807 \h </w:instrText>
            </w:r>
            <w:r w:rsidR="001F2BF1">
              <w:rPr>
                <w:noProof/>
                <w:webHidden/>
              </w:rPr>
            </w:r>
            <w:r w:rsidR="001F2BF1">
              <w:rPr>
                <w:noProof/>
                <w:webHidden/>
              </w:rPr>
              <w:fldChar w:fldCharType="separate"/>
            </w:r>
            <w:r w:rsidR="001F2BF1">
              <w:rPr>
                <w:noProof/>
                <w:webHidden/>
              </w:rPr>
              <w:t>4</w:t>
            </w:r>
            <w:r w:rsidR="001F2BF1">
              <w:rPr>
                <w:noProof/>
                <w:webHidden/>
              </w:rPr>
              <w:fldChar w:fldCharType="end"/>
            </w:r>
          </w:hyperlink>
        </w:p>
        <w:p w14:paraId="76F1EF0A" w14:textId="77777777" w:rsidR="001F2BF1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33158808" w:history="1">
            <w:r w:rsidR="001F2BF1" w:rsidRPr="00B12CD4">
              <w:rPr>
                <w:rStyle w:val="Hyperlink"/>
                <w:noProof/>
              </w:rPr>
              <w:t>84.252  Mót ramma</w:t>
            </w:r>
            <w:r w:rsidR="001F2BF1">
              <w:rPr>
                <w:noProof/>
                <w:webHidden/>
              </w:rPr>
              <w:tab/>
            </w:r>
            <w:r w:rsidR="001F2BF1">
              <w:rPr>
                <w:noProof/>
                <w:webHidden/>
              </w:rPr>
              <w:fldChar w:fldCharType="begin"/>
            </w:r>
            <w:r w:rsidR="001F2BF1">
              <w:rPr>
                <w:noProof/>
                <w:webHidden/>
              </w:rPr>
              <w:instrText xml:space="preserve"> PAGEREF _Toc533158808 \h </w:instrText>
            </w:r>
            <w:r w:rsidR="001F2BF1">
              <w:rPr>
                <w:noProof/>
                <w:webHidden/>
              </w:rPr>
            </w:r>
            <w:r w:rsidR="001F2BF1">
              <w:rPr>
                <w:noProof/>
                <w:webHidden/>
              </w:rPr>
              <w:fldChar w:fldCharType="separate"/>
            </w:r>
            <w:r w:rsidR="001F2BF1">
              <w:rPr>
                <w:noProof/>
                <w:webHidden/>
              </w:rPr>
              <w:t>5</w:t>
            </w:r>
            <w:r w:rsidR="001F2BF1">
              <w:rPr>
                <w:noProof/>
                <w:webHidden/>
              </w:rPr>
              <w:fldChar w:fldCharType="end"/>
            </w:r>
          </w:hyperlink>
        </w:p>
        <w:p w14:paraId="76F1EF0B" w14:textId="77777777" w:rsidR="001F2BF1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33158809" w:history="1">
            <w:r w:rsidR="001F2BF1" w:rsidRPr="00B12CD4">
              <w:rPr>
                <w:rStyle w:val="Hyperlink"/>
                <w:noProof/>
              </w:rPr>
              <w:t>84.253  Mót bitabrúar</w:t>
            </w:r>
            <w:r w:rsidR="001F2BF1">
              <w:rPr>
                <w:noProof/>
                <w:webHidden/>
              </w:rPr>
              <w:tab/>
            </w:r>
            <w:r w:rsidR="001F2BF1">
              <w:rPr>
                <w:noProof/>
                <w:webHidden/>
              </w:rPr>
              <w:fldChar w:fldCharType="begin"/>
            </w:r>
            <w:r w:rsidR="001F2BF1">
              <w:rPr>
                <w:noProof/>
                <w:webHidden/>
              </w:rPr>
              <w:instrText xml:space="preserve"> PAGEREF _Toc533158809 \h </w:instrText>
            </w:r>
            <w:r w:rsidR="001F2BF1">
              <w:rPr>
                <w:noProof/>
                <w:webHidden/>
              </w:rPr>
            </w:r>
            <w:r w:rsidR="001F2BF1">
              <w:rPr>
                <w:noProof/>
                <w:webHidden/>
              </w:rPr>
              <w:fldChar w:fldCharType="separate"/>
            </w:r>
            <w:r w:rsidR="001F2BF1">
              <w:rPr>
                <w:noProof/>
                <w:webHidden/>
              </w:rPr>
              <w:t>5</w:t>
            </w:r>
            <w:r w:rsidR="001F2BF1">
              <w:rPr>
                <w:noProof/>
                <w:webHidden/>
              </w:rPr>
              <w:fldChar w:fldCharType="end"/>
            </w:r>
          </w:hyperlink>
        </w:p>
        <w:p w14:paraId="76F1EF0C" w14:textId="77777777" w:rsidR="001F2BF1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33158810" w:history="1">
            <w:r w:rsidR="001F2BF1" w:rsidRPr="00B12CD4">
              <w:rPr>
                <w:rStyle w:val="Hyperlink"/>
                <w:noProof/>
              </w:rPr>
              <w:t>84.257  Mót 3,2 m bogaræsis</w:t>
            </w:r>
            <w:r w:rsidR="001F2BF1">
              <w:rPr>
                <w:noProof/>
                <w:webHidden/>
              </w:rPr>
              <w:tab/>
            </w:r>
            <w:r w:rsidR="001F2BF1">
              <w:rPr>
                <w:noProof/>
                <w:webHidden/>
              </w:rPr>
              <w:fldChar w:fldCharType="begin"/>
            </w:r>
            <w:r w:rsidR="001F2BF1">
              <w:rPr>
                <w:noProof/>
                <w:webHidden/>
              </w:rPr>
              <w:instrText xml:space="preserve"> PAGEREF _Toc533158810 \h </w:instrText>
            </w:r>
            <w:r w:rsidR="001F2BF1">
              <w:rPr>
                <w:noProof/>
                <w:webHidden/>
              </w:rPr>
            </w:r>
            <w:r w:rsidR="001F2BF1">
              <w:rPr>
                <w:noProof/>
                <w:webHidden/>
              </w:rPr>
              <w:fldChar w:fldCharType="separate"/>
            </w:r>
            <w:r w:rsidR="001F2BF1">
              <w:rPr>
                <w:noProof/>
                <w:webHidden/>
              </w:rPr>
              <w:t>5</w:t>
            </w:r>
            <w:r w:rsidR="001F2BF1">
              <w:rPr>
                <w:noProof/>
                <w:webHidden/>
              </w:rPr>
              <w:fldChar w:fldCharType="end"/>
            </w:r>
          </w:hyperlink>
        </w:p>
        <w:p w14:paraId="76F1EF0D" w14:textId="77777777" w:rsidR="001F2BF1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33158811" w:history="1">
            <w:r w:rsidR="001F2BF1" w:rsidRPr="00B12CD4">
              <w:rPr>
                <w:rStyle w:val="Hyperlink"/>
                <w:noProof/>
              </w:rPr>
              <w:t>84.258  Mót 5,25 m bogaræsis</w:t>
            </w:r>
            <w:r w:rsidR="001F2BF1">
              <w:rPr>
                <w:noProof/>
                <w:webHidden/>
              </w:rPr>
              <w:tab/>
            </w:r>
            <w:r w:rsidR="001F2BF1">
              <w:rPr>
                <w:noProof/>
                <w:webHidden/>
              </w:rPr>
              <w:fldChar w:fldCharType="begin"/>
            </w:r>
            <w:r w:rsidR="001F2BF1">
              <w:rPr>
                <w:noProof/>
                <w:webHidden/>
              </w:rPr>
              <w:instrText xml:space="preserve"> PAGEREF _Toc533158811 \h </w:instrText>
            </w:r>
            <w:r w:rsidR="001F2BF1">
              <w:rPr>
                <w:noProof/>
                <w:webHidden/>
              </w:rPr>
            </w:r>
            <w:r w:rsidR="001F2BF1">
              <w:rPr>
                <w:noProof/>
                <w:webHidden/>
              </w:rPr>
              <w:fldChar w:fldCharType="separate"/>
            </w:r>
            <w:r w:rsidR="001F2BF1">
              <w:rPr>
                <w:noProof/>
                <w:webHidden/>
              </w:rPr>
              <w:t>5</w:t>
            </w:r>
            <w:r w:rsidR="001F2BF1">
              <w:rPr>
                <w:noProof/>
                <w:webHidden/>
              </w:rPr>
              <w:fldChar w:fldCharType="end"/>
            </w:r>
          </w:hyperlink>
        </w:p>
        <w:p w14:paraId="76F1EF0E" w14:textId="77777777" w:rsidR="001F2BF1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33158812" w:history="1">
            <w:r w:rsidR="001F2BF1" w:rsidRPr="00B12CD4">
              <w:rPr>
                <w:rStyle w:val="Hyperlink"/>
                <w:noProof/>
              </w:rPr>
              <w:t>84.259  Mót 6,7 m bogaræsis</w:t>
            </w:r>
            <w:r w:rsidR="001F2BF1">
              <w:rPr>
                <w:noProof/>
                <w:webHidden/>
              </w:rPr>
              <w:tab/>
            </w:r>
            <w:r w:rsidR="001F2BF1">
              <w:rPr>
                <w:noProof/>
                <w:webHidden/>
              </w:rPr>
              <w:fldChar w:fldCharType="begin"/>
            </w:r>
            <w:r w:rsidR="001F2BF1">
              <w:rPr>
                <w:noProof/>
                <w:webHidden/>
              </w:rPr>
              <w:instrText xml:space="preserve"> PAGEREF _Toc533158812 \h </w:instrText>
            </w:r>
            <w:r w:rsidR="001F2BF1">
              <w:rPr>
                <w:noProof/>
                <w:webHidden/>
              </w:rPr>
            </w:r>
            <w:r w:rsidR="001F2BF1">
              <w:rPr>
                <w:noProof/>
                <w:webHidden/>
              </w:rPr>
              <w:fldChar w:fldCharType="separate"/>
            </w:r>
            <w:r w:rsidR="001F2BF1">
              <w:rPr>
                <w:noProof/>
                <w:webHidden/>
              </w:rPr>
              <w:t>5</w:t>
            </w:r>
            <w:r w:rsidR="001F2BF1">
              <w:rPr>
                <w:noProof/>
                <w:webHidden/>
              </w:rPr>
              <w:fldChar w:fldCharType="end"/>
            </w:r>
          </w:hyperlink>
        </w:p>
        <w:p w14:paraId="76F1EF0F" w14:textId="77777777" w:rsidR="001F2BF1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33158813" w:history="1">
            <w:r w:rsidR="001F2BF1" w:rsidRPr="00B12CD4">
              <w:rPr>
                <w:rStyle w:val="Hyperlink"/>
                <w:noProof/>
              </w:rPr>
              <w:t>84.26  Mót annað</w:t>
            </w:r>
            <w:r w:rsidR="001F2BF1">
              <w:rPr>
                <w:noProof/>
                <w:webHidden/>
              </w:rPr>
              <w:tab/>
            </w:r>
            <w:r w:rsidR="001F2BF1">
              <w:rPr>
                <w:noProof/>
                <w:webHidden/>
              </w:rPr>
              <w:fldChar w:fldCharType="begin"/>
            </w:r>
            <w:r w:rsidR="001F2BF1">
              <w:rPr>
                <w:noProof/>
                <w:webHidden/>
              </w:rPr>
              <w:instrText xml:space="preserve"> PAGEREF _Toc533158813 \h </w:instrText>
            </w:r>
            <w:r w:rsidR="001F2BF1">
              <w:rPr>
                <w:noProof/>
                <w:webHidden/>
              </w:rPr>
            </w:r>
            <w:r w:rsidR="001F2BF1">
              <w:rPr>
                <w:noProof/>
                <w:webHidden/>
              </w:rPr>
              <w:fldChar w:fldCharType="separate"/>
            </w:r>
            <w:r w:rsidR="001F2BF1">
              <w:rPr>
                <w:noProof/>
                <w:webHidden/>
              </w:rPr>
              <w:t>6</w:t>
            </w:r>
            <w:r w:rsidR="001F2BF1">
              <w:rPr>
                <w:noProof/>
                <w:webHidden/>
              </w:rPr>
              <w:fldChar w:fldCharType="end"/>
            </w:r>
          </w:hyperlink>
        </w:p>
        <w:p w14:paraId="76F1EF10" w14:textId="77777777" w:rsidR="008B0DB0" w:rsidRDefault="008B0DB0">
          <w:r>
            <w:rPr>
              <w:b/>
              <w:bCs/>
              <w:noProof/>
            </w:rPr>
            <w:fldChar w:fldCharType="end"/>
          </w:r>
        </w:p>
      </w:sdtContent>
    </w:sdt>
    <w:p w14:paraId="76F1EF11" w14:textId="77777777" w:rsidR="008B0DB0" w:rsidRDefault="008B0DB0" w:rsidP="002026BC">
      <w:pPr>
        <w:pStyle w:val="Kaflafyrirsagnir"/>
      </w:pPr>
    </w:p>
    <w:p w14:paraId="76F1EF12" w14:textId="77777777" w:rsidR="008207EA" w:rsidRPr="002026BC" w:rsidRDefault="002926BC" w:rsidP="00D42091">
      <w:pPr>
        <w:pStyle w:val="Kaflafyrirsagnir"/>
        <w:ind w:left="0" w:firstLine="0"/>
      </w:pPr>
      <w:bookmarkStart w:id="1" w:name="_Toc533158800"/>
      <w:bookmarkEnd w:id="0"/>
      <w:r>
        <w:t>Mót</w:t>
      </w:r>
      <w:r w:rsidR="00B97DF6">
        <w:t xml:space="preserve"> - </w:t>
      </w:r>
      <w:r w:rsidR="00CA7E5B" w:rsidRPr="002026BC">
        <w:t>Almenn lýsing</w:t>
      </w:r>
      <w:bookmarkEnd w:id="1"/>
    </w:p>
    <w:p w14:paraId="76F1EF13" w14:textId="77777777" w:rsidR="000B7FAC" w:rsidRPr="002026BC" w:rsidRDefault="000B7FAC" w:rsidP="002026BC">
      <w:pPr>
        <w:pStyle w:val="Li-fyrirsagnir"/>
      </w:pPr>
      <w:r w:rsidRPr="002026BC">
        <w:t>a)</w:t>
      </w:r>
      <w:r w:rsidRPr="002026BC">
        <w:tab/>
        <w:t>Verksvið</w:t>
      </w:r>
    </w:p>
    <w:p w14:paraId="76F1EF14" w14:textId="77777777" w:rsidR="000B7FAC" w:rsidRDefault="00FA4F78" w:rsidP="002026BC">
      <w:pPr>
        <w:rPr>
          <w:b/>
        </w:rPr>
      </w:pPr>
      <w:r w:rsidRPr="00FA4F78">
        <w:t>Verksviðið er steypumót. Innifalinn er allur kostnaður, efni, vinna og flutningur efnis vegna steypumóta, þ.m.t.</w:t>
      </w:r>
      <w:r w:rsidR="00D65A19">
        <w:t xml:space="preserve"> n</w:t>
      </w:r>
      <w:r w:rsidRPr="00FA4F78">
        <w:t xml:space="preserve">auðsynleg afstífing eða stögun móta, úrtök, hornlistar, vinnupallar, göngubrautir og mótarif. </w:t>
      </w:r>
    </w:p>
    <w:p w14:paraId="76F1EF15" w14:textId="77777777" w:rsidR="008207EA" w:rsidRPr="002026BC" w:rsidRDefault="008207EA" w:rsidP="002026BC">
      <w:pPr>
        <w:pStyle w:val="Li-fyrirsagnir"/>
      </w:pPr>
      <w:r w:rsidRPr="002026BC">
        <w:t>b)</w:t>
      </w:r>
      <w:r w:rsidRPr="002026BC">
        <w:tab/>
        <w:t>Efniskröfur</w:t>
      </w:r>
    </w:p>
    <w:p w14:paraId="76F1EF16" w14:textId="77777777" w:rsidR="00FA4F78" w:rsidRDefault="00FA4F78" w:rsidP="00FA4F78">
      <w:r>
        <w:t xml:space="preserve">Í mót á sýnilega fleti skal nota nýtt efni eða jafngott notað efni sem eftirlit samþykkir. Ekki er gerður greinarmunur á venjulegum mótavið, mótaplötum eða mótakrossvið og skal mótaefnið uppfylla þær kröfur sem gerðar eru um styrk, sléttleika, yfirborðsáferð, mótatengi o.þ.h. í hverju tilviki. </w:t>
      </w:r>
    </w:p>
    <w:p w14:paraId="76F1EF17" w14:textId="77777777" w:rsidR="00A81C00" w:rsidRPr="00DC3AA5" w:rsidRDefault="00FA4F78" w:rsidP="00FA4F78">
      <w:pPr>
        <w:rPr>
          <w:szCs w:val="24"/>
        </w:rPr>
      </w:pPr>
      <w:r>
        <w:t xml:space="preserve">Val á mótaolíu skal vera háð samþykki eftirlitsins.  Taka skal tillit til þess hvort bera </w:t>
      </w:r>
      <w:r w:rsidR="00D65A19">
        <w:t>eigi</w:t>
      </w:r>
      <w:r>
        <w:t xml:space="preserve"> yfirborðsefni á steypufletina síðar. Mótaolía má ekki hafa áhrif á yfirborð harðnaðrar steypu, hvorki lit eða hörku. </w:t>
      </w:r>
      <w:r w:rsidR="00D65A19">
        <w:t>Hún</w:t>
      </w:r>
      <w:r>
        <w:t xml:space="preserve"> má ekki vera loftbólumyndandi í snertingu við ferska steypu né hafa seinkandi áhrif á hörðnun steypunnar. Ef gerðar eru kröfur um mjög jafna litadreifingu á yfirborði steypu skal velja olíu sem þornar í lofti (“syntetiska olíu”). Sé þess krafist skal leggja fram efnislýsingu og/eða framleiðsluvottorð á mótaolíu.</w:t>
      </w:r>
    </w:p>
    <w:p w14:paraId="76F1EF18" w14:textId="77777777" w:rsidR="008207EA" w:rsidRPr="002026BC" w:rsidRDefault="008207EA" w:rsidP="002026BC">
      <w:pPr>
        <w:pStyle w:val="Li-fyrirsagnir"/>
      </w:pPr>
      <w:r w:rsidRPr="002026BC">
        <w:t>c)</w:t>
      </w:r>
      <w:r w:rsidRPr="002026BC">
        <w:tab/>
        <w:t>Vinnugæði</w:t>
      </w:r>
      <w:r w:rsidR="0072357B" w:rsidRPr="002026BC">
        <w:t xml:space="preserve"> </w:t>
      </w:r>
    </w:p>
    <w:p w14:paraId="76F1EF19" w14:textId="77777777" w:rsidR="00FA4F78" w:rsidRDefault="00FA4F78" w:rsidP="00FA4F78">
      <w:r>
        <w:lastRenderedPageBreak/>
        <w:t xml:space="preserve">Um alla vinnu við mót gildir ÍST EN 13670 og fylgja skal leiðbeiningum um steypumót í viðauka C. </w:t>
      </w:r>
    </w:p>
    <w:p w14:paraId="76F1EF1A" w14:textId="77777777" w:rsidR="00FA4F78" w:rsidRDefault="00FA4F78" w:rsidP="00FA4F78">
      <w:r>
        <w:t xml:space="preserve">Sé ekki annað tilgreint í verklýsingu er vinna við mót brúa almennt í </w:t>
      </w:r>
      <w:r w:rsidR="00CE5793">
        <w:t>f</w:t>
      </w:r>
      <w:r>
        <w:t>ramkvæmda</w:t>
      </w:r>
      <w:r w:rsidR="00E9070A">
        <w:t>r</w:t>
      </w:r>
      <w:r>
        <w:t>flokki 3.</w:t>
      </w:r>
    </w:p>
    <w:p w14:paraId="76F1EF1B" w14:textId="77777777" w:rsidR="00FA4F78" w:rsidRDefault="00FA4F78" w:rsidP="00FA4F78">
      <w:r>
        <w:t>Mót skal hanna og byggja í samræmi við tilheyrandi ÍST EN</w:t>
      </w:r>
      <w:r w:rsidR="00CE5793">
        <w:t xml:space="preserve"> </w:t>
      </w:r>
      <w:r w:rsidR="00C15499">
        <w:t>staðla</w:t>
      </w:r>
      <w:r>
        <w:t xml:space="preserve"> eða aðra sambærilega staðla sem viðurkenndir eru til þolhönnunar mannvirkja og skal auk þess eftirfarandi haft til hliðsjónar: </w:t>
      </w:r>
    </w:p>
    <w:p w14:paraId="76F1EF1C" w14:textId="77777777" w:rsidR="00FA4F78" w:rsidRDefault="00FA4F78" w:rsidP="00FA4F78">
      <w:pPr>
        <w:ind w:left="1134"/>
      </w:pPr>
      <w:r>
        <w:t>Verktaki skal</w:t>
      </w:r>
      <w:r w:rsidR="00D65A19">
        <w:t>,</w:t>
      </w:r>
      <w:r>
        <w:t xml:space="preserve"> að minnsta kosti 14 dögum áður en vinna við smíði hefst, leggja fram útreikninga og uppdrætti af mótum til samþykktar af eftirliti. </w:t>
      </w:r>
    </w:p>
    <w:p w14:paraId="76F1EF1D" w14:textId="77777777" w:rsidR="00FA4F78" w:rsidRDefault="00FA4F78" w:rsidP="00FA4F78">
      <w:pPr>
        <w:ind w:left="1134"/>
      </w:pPr>
      <w:r>
        <w:t xml:space="preserve">Reiknað álag á mót skal innifela fast álag og álag vegna steypu </w:t>
      </w:r>
      <w:r w:rsidR="00D65A19">
        <w:t xml:space="preserve">skal </w:t>
      </w:r>
      <w:r>
        <w:t xml:space="preserve">margfaldað með álagsstuðli a.m.k. 1,3. </w:t>
      </w:r>
    </w:p>
    <w:p w14:paraId="76F1EF1E" w14:textId="77777777" w:rsidR="00FA4F78" w:rsidRDefault="00FA4F78" w:rsidP="00FA4F78">
      <w:pPr>
        <w:ind w:left="1134"/>
      </w:pPr>
      <w:r>
        <w:t>Mót skal reikna fyrir vindálag i</w:t>
      </w:r>
      <w:r w:rsidR="00152043">
        <w:t>,</w:t>
      </w:r>
      <w:r>
        <w:t xml:space="preserve"> skv. ÍST EN 1991-1-4:2005. </w:t>
      </w:r>
    </w:p>
    <w:p w14:paraId="76F1EF1F" w14:textId="77777777" w:rsidR="00FA4F78" w:rsidRDefault="00FA4F78" w:rsidP="00FA4F78">
      <w:r>
        <w:t>Vinna skal uppfylla kröfur um þéttleika, styrk, lögun, steypuskil, afstífingu móta, mótarif o.þ.h.</w:t>
      </w:r>
      <w:r w:rsidR="00C1369C">
        <w:t>,</w:t>
      </w:r>
      <w:r>
        <w:t xml:space="preserve"> sem gerðar eru í hverju tilviki. </w:t>
      </w:r>
    </w:p>
    <w:p w14:paraId="76F1EF20" w14:textId="77777777" w:rsidR="00FA4F78" w:rsidRDefault="00FA4F78" w:rsidP="00FA4F78">
      <w:r>
        <w:t xml:space="preserve">Mót skulu vera nægilega stöðug þannig að þau haggist ekki meðan steypu er komið fyrir í þeim og þau skulu vera það stíf að svignun </w:t>
      </w:r>
      <w:r w:rsidR="00D65A19">
        <w:t xml:space="preserve">sé ekki til </w:t>
      </w:r>
      <w:r>
        <w:t xml:space="preserve">lýti </w:t>
      </w:r>
      <w:r w:rsidR="00D65A19">
        <w:t>á</w:t>
      </w:r>
      <w:r>
        <w:t xml:space="preserve"> byggingarhluta. Mesta leyfileg svignun móta er 1/300 af haflengd viðkomandi hluta</w:t>
      </w:r>
      <w:r w:rsidR="00D65A19">
        <w:t>,</w:t>
      </w:r>
      <w:r>
        <w:t xml:space="preserve"> nema annað sé sérstaklega tekið fram. </w:t>
      </w:r>
    </w:p>
    <w:p w14:paraId="76F1EF21" w14:textId="77777777" w:rsidR="00FA4F78" w:rsidRDefault="00FA4F78" w:rsidP="00FA4F78">
      <w:r>
        <w:t>Notkun mótavírs verður ekki leyfð nema í sökklum og skal þá höggva víra a.m.k. 50 mm inn í steypu og holufylla með múrblöndu.</w:t>
      </w:r>
    </w:p>
    <w:p w14:paraId="76F1EF22" w14:textId="77777777" w:rsidR="00FA4F78" w:rsidRDefault="00FA4F78" w:rsidP="00FA4F78">
      <w:r>
        <w:t>Leyfð er notkun mótateina sem ganga heilir í gegnum mótin í rörum</w:t>
      </w:r>
      <w:r w:rsidR="00C1369C">
        <w:t>,</w:t>
      </w:r>
      <w:r>
        <w:t xml:space="preserve"> sem jafnframt eru fjarlægðarmát fyrir byggingarhlutann. Götin þarf að þétta þeim megin sem fylling kemur að með kítti, festifrauði eða öðru jafngóðu sem eftirlit samþykkir</w:t>
      </w:r>
      <w:r w:rsidR="00C1369C">
        <w:t>. S</w:t>
      </w:r>
      <w:r>
        <w:t xml:space="preserve">kal lega mótateina vera regluleg og falla eðlilega að útliti viðkomandi byggingarhluta. </w:t>
      </w:r>
    </w:p>
    <w:p w14:paraId="76F1EF23" w14:textId="77777777" w:rsidR="00FA4F78" w:rsidRDefault="00FA4F78" w:rsidP="00FA4F78">
      <w:r>
        <w:t xml:space="preserve">Mótateina af annarri gerð má nota að fengnu samþykki eftirlitsins. </w:t>
      </w:r>
    </w:p>
    <w:p w14:paraId="76F1EF24" w14:textId="77777777" w:rsidR="00FA4F78" w:rsidRDefault="00FA4F78" w:rsidP="00FA4F78">
      <w:r>
        <w:t>Vanda skal til samskeyta borða í mótum þannig að leki úr nýlagðri steypu verði sem minnstur. Samskeyti milli borðaenda skulu vera á langbandi eða uppistöðu</w:t>
      </w:r>
      <w:r w:rsidR="00C1369C">
        <w:t>. O</w:t>
      </w:r>
      <w:r>
        <w:t>g s</w:t>
      </w:r>
      <w:r w:rsidR="00C1369C">
        <w:t>kal</w:t>
      </w:r>
      <w:r>
        <w:t xml:space="preserve"> þeim dreift þannig að á hverju langbandi eða uppistöðu sé í mesta lagi annað hvert borð skeytt. </w:t>
      </w:r>
    </w:p>
    <w:p w14:paraId="76F1EF25" w14:textId="77777777" w:rsidR="00FA4F78" w:rsidRDefault="00FA4F78" w:rsidP="00FA4F78">
      <w:r>
        <w:t xml:space="preserve">Mót bríka skulu vera þannig að hægt sé að slétta yfirborð steypu við efri brún móta. </w:t>
      </w:r>
    </w:p>
    <w:p w14:paraId="76F1EF26" w14:textId="77777777" w:rsidR="00FA4F78" w:rsidRDefault="00FA4F78" w:rsidP="00FA4F78">
      <w:r>
        <w:t>Í kverkar milli mótaflata við útstæð horn skal setja þríhyrndan lista með 25-35 mm skammhliðum</w:t>
      </w:r>
      <w:r w:rsidR="00D65A19">
        <w:t>,</w:t>
      </w:r>
      <w:r>
        <w:t xml:space="preserve"> nema mælt sé fyrir um annað. </w:t>
      </w:r>
    </w:p>
    <w:p w14:paraId="76F1EF27" w14:textId="77777777" w:rsidR="00FA4F78" w:rsidRDefault="00FA4F78" w:rsidP="00FA4F78">
      <w:r>
        <w:t xml:space="preserve">Mótaolíu má ekki bera á bendingu, innsteypta hluti eða harðnaða steypu í skilum. </w:t>
      </w:r>
      <w:r w:rsidR="00D65A19">
        <w:t>Hún</w:t>
      </w:r>
      <w:r>
        <w:t xml:space="preserve"> skal hylja allt yfirborð móta með þunnu og jöfnu lagi. Við lárétt mót skal þurrka upp alla olíupolla sem safnast í lágpunkt móta.</w:t>
      </w:r>
    </w:p>
    <w:p w14:paraId="76F1EF28" w14:textId="77777777" w:rsidR="00FA4F78" w:rsidRDefault="00FA4F78" w:rsidP="00FA4F78">
      <w:r>
        <w:t xml:space="preserve">Áður en steypuvinna hefst skal eftirlitið samþykkja öll mót. </w:t>
      </w:r>
    </w:p>
    <w:p w14:paraId="76F1EF29" w14:textId="77777777" w:rsidR="00FA4F78" w:rsidRDefault="00FA4F78" w:rsidP="00FA4F78">
      <w:r>
        <w:t xml:space="preserve">Mót stórra berandi platna má ekki fjarlægja undir neinum kringumstæðum fyrr en steypan hefur náð 60% af þeim 28 daga styrk sem kveðið er á um. </w:t>
      </w:r>
    </w:p>
    <w:p w14:paraId="76F1EF2A" w14:textId="77777777" w:rsidR="00DB45C8" w:rsidRDefault="00FA4F78" w:rsidP="00FA4F78">
      <w:r>
        <w:t>Rif móta er í öllum tilvikum háð samþykki eftirlits og sé ekki mælt fyrir um annað</w:t>
      </w:r>
      <w:r w:rsidR="0049396B">
        <w:t>,</w:t>
      </w:r>
      <w:r>
        <w:t xml:space="preserve"> eða sýnt fram á með útreikningum og mælingum, má ekki fjarlægja mót stöpla og </w:t>
      </w:r>
      <w:r>
        <w:lastRenderedPageBreak/>
        <w:t>yfirbygginga fyrr en hitamunur milli yfirborðs steypu og miðju hennar er minni en 20°</w:t>
      </w:r>
      <w:r w:rsidR="00D64CDA">
        <w:t xml:space="preserve"> </w:t>
      </w:r>
      <w:r>
        <w:t>C.</w:t>
      </w:r>
      <w:r w:rsidR="00875247">
        <w:t xml:space="preserve">  </w:t>
      </w:r>
    </w:p>
    <w:p w14:paraId="76F1EF2B" w14:textId="77777777" w:rsidR="00B151FD" w:rsidRDefault="00DB45C8" w:rsidP="00FA4F78">
      <w:pPr>
        <w:rPr>
          <w:szCs w:val="24"/>
        </w:rPr>
      </w:pPr>
      <w:r>
        <w:t xml:space="preserve">Ef um spennta brú er að ræða þá </w:t>
      </w:r>
      <w:r w:rsidR="00875247">
        <w:t>má ekki undir neinum kringumstæðum fjarlægja mót yfirbyggingar</w:t>
      </w:r>
      <w:r>
        <w:t xml:space="preserve"> </w:t>
      </w:r>
      <w:r w:rsidR="00875247">
        <w:t>fyrr en uppspennu er lokið</w:t>
      </w:r>
      <w:r>
        <w:t xml:space="preserve"> og öðrum kröfum fullnægt</w:t>
      </w:r>
      <w:r w:rsidR="00875247">
        <w:t>.</w:t>
      </w:r>
    </w:p>
    <w:p w14:paraId="76F1EF2C" w14:textId="77777777" w:rsidR="008207EA" w:rsidRPr="002026BC" w:rsidRDefault="008207EA" w:rsidP="002026BC">
      <w:pPr>
        <w:pStyle w:val="Li-fyrirsagnir"/>
      </w:pPr>
      <w:r w:rsidRPr="002026BC">
        <w:t>e)</w:t>
      </w:r>
      <w:r w:rsidRPr="002026BC">
        <w:tab/>
        <w:t>Nákvæmni</w:t>
      </w:r>
      <w:r w:rsidR="00983E55">
        <w:t>s</w:t>
      </w:r>
      <w:r w:rsidRPr="002026BC">
        <w:t>kröfur</w:t>
      </w:r>
      <w:r w:rsidR="00983E55">
        <w:t>, frá</w:t>
      </w:r>
      <w:r w:rsidRPr="002026BC">
        <w:t>vik</w:t>
      </w:r>
    </w:p>
    <w:p w14:paraId="76F1EF2D" w14:textId="77777777" w:rsidR="00FA4F78" w:rsidRDefault="00FA4F78" w:rsidP="00FA4F78">
      <w:r>
        <w:t xml:space="preserve">Ef ekki eru fyrirmæli um annað eru nákvæmniskröfur um stærð og staðsetningu steyptra mannvirkja sem hér segir: </w:t>
      </w:r>
    </w:p>
    <w:p w14:paraId="76F1EF2E" w14:textId="77777777" w:rsidR="00FA4F78" w:rsidRDefault="00FA4F78" w:rsidP="00FA4F78">
      <w:pPr>
        <w:ind w:left="1134"/>
      </w:pPr>
      <w:r>
        <w:t xml:space="preserve">Undirstaða sem hylja á jarðvegi: ±50 mm. </w:t>
      </w:r>
    </w:p>
    <w:p w14:paraId="76F1EF2F" w14:textId="77777777" w:rsidR="00FA4F78" w:rsidRDefault="00FA4F78" w:rsidP="00FA4F78">
      <w:pPr>
        <w:ind w:left="1134"/>
      </w:pPr>
      <w:r>
        <w:t xml:space="preserve">Stöpull, súla og allir hlutar yfirbyggingar: ±20 mm. </w:t>
      </w:r>
    </w:p>
    <w:p w14:paraId="76F1EF30" w14:textId="77777777" w:rsidR="00FA4F78" w:rsidRDefault="00FA4F78" w:rsidP="00FA4F78">
      <w:pPr>
        <w:ind w:left="1134"/>
      </w:pPr>
      <w:r>
        <w:t>Hæð bygginga</w:t>
      </w:r>
      <w:r w:rsidR="0087232E">
        <w:t>r</w:t>
      </w:r>
      <w:r>
        <w:t xml:space="preserve">hluta: ±10 mm. </w:t>
      </w:r>
    </w:p>
    <w:p w14:paraId="76F1EF31" w14:textId="77777777" w:rsidR="00FA4F78" w:rsidRDefault="00FA4F78" w:rsidP="00FA4F78">
      <w:pPr>
        <w:ind w:left="1134"/>
      </w:pPr>
      <w:r>
        <w:t>Stærð bygginga</w:t>
      </w:r>
      <w:r w:rsidR="0087232E">
        <w:t>r</w:t>
      </w:r>
      <w:r>
        <w:t>hluta</w:t>
      </w:r>
      <w:r w:rsidR="0049396B">
        <w:t>,</w:t>
      </w:r>
      <w:r>
        <w:t xml:space="preserve"> svo sem þykkt veggja og platna o.s.frv.: +10 mm/-0 mm. </w:t>
      </w:r>
    </w:p>
    <w:p w14:paraId="76F1EF32" w14:textId="77777777" w:rsidR="00FA4F78" w:rsidRDefault="00FA4F78" w:rsidP="00FA4F78">
      <w:r>
        <w:t>Bogin mót skulu vera samfelld og fylgja boga sem mælt er fyrir um, þannig að frávik frá boga sé</w:t>
      </w:r>
      <w:r w:rsidR="00737E3C">
        <w:t>u</w:t>
      </w:r>
      <w:r>
        <w:t xml:space="preserve"> minna en 1/300 af fjarlægðinni milli brot</w:t>
      </w:r>
      <w:r w:rsidR="00737E3C">
        <w:t>a</w:t>
      </w:r>
      <w:r>
        <w:t xml:space="preserve">punktanna. </w:t>
      </w:r>
    </w:p>
    <w:p w14:paraId="76F1EF33" w14:textId="77777777" w:rsidR="005031C4" w:rsidRPr="005031C4" w:rsidRDefault="00FA4F78" w:rsidP="00FA4F78">
      <w:r>
        <w:t xml:space="preserve">Frávik í málum milli eða innan einstakra hluta skulu ekki vera meiri en svo að þau </w:t>
      </w:r>
      <w:r w:rsidR="0049396B">
        <w:t xml:space="preserve">séu ekki </w:t>
      </w:r>
      <w:r>
        <w:t xml:space="preserve">lýti </w:t>
      </w:r>
      <w:r w:rsidR="0049396B">
        <w:t>á</w:t>
      </w:r>
      <w:r>
        <w:t xml:space="preserve"> útlit</w:t>
      </w:r>
      <w:r w:rsidR="0049396B">
        <w:t>i</w:t>
      </w:r>
      <w:r>
        <w:t xml:space="preserve"> mannvirkis eða hluta þess.</w:t>
      </w:r>
    </w:p>
    <w:p w14:paraId="76F1EF34" w14:textId="77777777" w:rsidR="002F0A56" w:rsidRPr="002026BC" w:rsidRDefault="002F0A56" w:rsidP="002F0A56">
      <w:pPr>
        <w:pStyle w:val="Kaflafyrirsagnir"/>
      </w:pPr>
      <w:bookmarkStart w:id="2" w:name="_Toc533158801"/>
      <w:r>
        <w:t>84.2  Mót</w:t>
      </w:r>
      <w:bookmarkEnd w:id="2"/>
      <w:r>
        <w:t xml:space="preserve"> </w:t>
      </w:r>
    </w:p>
    <w:p w14:paraId="76F1EF35" w14:textId="77777777" w:rsidR="002F0A56" w:rsidRDefault="002F0A56" w:rsidP="00D42091">
      <w:pPr>
        <w:rPr>
          <w:i/>
          <w:color w:val="4F81BD" w:themeColor="accent1"/>
        </w:rPr>
      </w:pPr>
      <w:r w:rsidRPr="00D42091">
        <w:rPr>
          <w:b/>
        </w:rPr>
        <w:t>a)</w:t>
      </w:r>
      <w:r w:rsidRPr="00831D1B">
        <w:tab/>
      </w:r>
      <w:r w:rsidR="00F0363D">
        <w:t xml:space="preserve">Um er að ræða </w:t>
      </w:r>
      <w:r>
        <w:t>allan kostnað, efni, vinnu og flutning efnis vegna móta</w:t>
      </w:r>
      <w:r w:rsidR="00F0363D">
        <w:t>.</w:t>
      </w:r>
      <w:r>
        <w:t xml:space="preserve"> </w:t>
      </w:r>
      <w:r w:rsidRPr="00902305">
        <w:rPr>
          <w:i/>
          <w:color w:val="4F81BD" w:themeColor="accent1"/>
        </w:rPr>
        <w:t>[nánari lýsing]</w:t>
      </w:r>
    </w:p>
    <w:p w14:paraId="76F1EF36" w14:textId="77777777" w:rsidR="00F0363D" w:rsidRDefault="002F0A56" w:rsidP="00D42091">
      <w:pPr>
        <w:pStyle w:val="NoSpacing"/>
        <w:rPr>
          <w:i/>
          <w:color w:val="4F81BD" w:themeColor="accent1"/>
        </w:rPr>
      </w:pPr>
      <w:r w:rsidRPr="00D42091">
        <w:rPr>
          <w:b/>
        </w:rPr>
        <w:t>c)</w:t>
      </w:r>
      <w:r>
        <w:tab/>
      </w:r>
      <w:r w:rsidRPr="003A50EC">
        <w:rPr>
          <w:i/>
          <w:color w:val="4F81BD" w:themeColor="accent1"/>
        </w:rPr>
        <w:t>[lýsing, tilv. í uppdrætti</w:t>
      </w:r>
      <w:r>
        <w:rPr>
          <w:i/>
          <w:color w:val="4F81BD" w:themeColor="accent1"/>
        </w:rPr>
        <w:t>]</w:t>
      </w:r>
    </w:p>
    <w:p w14:paraId="76F1EF37" w14:textId="77777777" w:rsidR="002F0A56" w:rsidRPr="0047272B" w:rsidRDefault="002F0A56" w:rsidP="00D42091">
      <w:pPr>
        <w:pStyle w:val="NoSpacing"/>
        <w:tabs>
          <w:tab w:val="clear" w:pos="284"/>
        </w:tabs>
        <w:ind w:left="1134" w:hanging="283"/>
      </w:pPr>
      <w:r w:rsidRPr="00D42091">
        <w:rPr>
          <w:b/>
        </w:rPr>
        <w:t>e)</w:t>
      </w:r>
      <w:r w:rsidR="00D42091">
        <w:tab/>
      </w:r>
      <w:r w:rsidRPr="004D70EE">
        <w:t>Gátpunkta, sem fram koma á uppdráttum, má nota til að setja út eða sannreyna útsetningu sökkla. Sannreyna skal innbyrðis mál</w:t>
      </w:r>
      <w:r w:rsidR="0049396B">
        <w:t>,</w:t>
      </w:r>
      <w:r w:rsidRPr="004D70EE">
        <w:t xml:space="preserve"> skv. málsetningum á uppdráttum.</w:t>
      </w:r>
    </w:p>
    <w:p w14:paraId="76F1EF38" w14:textId="77777777" w:rsidR="002F0A56" w:rsidRPr="007A12AC" w:rsidRDefault="002F0A56" w:rsidP="00D42091">
      <w:pPr>
        <w:ind w:left="1134" w:hanging="283"/>
      </w:pPr>
      <w:r w:rsidRPr="00D42091">
        <w:rPr>
          <w:b/>
        </w:rPr>
        <w:t>f)</w:t>
      </w:r>
      <w:r w:rsidRPr="00831D1B">
        <w:tab/>
      </w:r>
      <w:r>
        <w:t>Uppgjör miðast við mældan flöt mótaklæðningar</w:t>
      </w:r>
      <w:r w:rsidR="0049396B">
        <w:t>,</w:t>
      </w:r>
      <w:r>
        <w:t xml:space="preserve"> óháð því hvort flötur er sléttur eða rásaður. Op minni en 0,5 m</w:t>
      </w:r>
      <w:r w:rsidRPr="007A12AC">
        <w:rPr>
          <w:vertAlign w:val="superscript"/>
        </w:rPr>
        <w:t>2</w:t>
      </w:r>
      <w:r>
        <w:t xml:space="preserve"> eru ekki dregin frá</w:t>
      </w:r>
      <w:r w:rsidRPr="00077A69">
        <w:t>.</w:t>
      </w:r>
    </w:p>
    <w:p w14:paraId="76F1EF39" w14:textId="77777777" w:rsidR="002F0A56" w:rsidRPr="007F5C04" w:rsidRDefault="0067752D" w:rsidP="00D42091">
      <w:r>
        <w:tab/>
      </w:r>
      <w:r w:rsidR="002F0A56" w:rsidRPr="007F5C04">
        <w:t>Mælieining:</w:t>
      </w:r>
      <w:r w:rsidR="002F0A56" w:rsidRPr="007F5C04">
        <w:tab/>
        <w:t>m</w:t>
      </w:r>
      <w:r w:rsidR="002F0A56" w:rsidRPr="007A12AC">
        <w:rPr>
          <w:vertAlign w:val="superscript"/>
        </w:rPr>
        <w:t>2</w:t>
      </w:r>
    </w:p>
    <w:p w14:paraId="76F1EF3A" w14:textId="77777777" w:rsidR="002F0A56" w:rsidRPr="002026BC" w:rsidRDefault="002F0A56" w:rsidP="002F0A56">
      <w:pPr>
        <w:pStyle w:val="Kaflafyrirsagnir"/>
      </w:pPr>
      <w:bookmarkStart w:id="3" w:name="_Toc533158802"/>
      <w:r>
        <w:t>84.21  Mót sökkla</w:t>
      </w:r>
      <w:bookmarkEnd w:id="3"/>
    </w:p>
    <w:p w14:paraId="76F1EF3B" w14:textId="77777777" w:rsidR="002F0A56" w:rsidRDefault="002F0A56" w:rsidP="00D42091">
      <w:pPr>
        <w:ind w:left="1134" w:hanging="283"/>
        <w:rPr>
          <w:i/>
          <w:color w:val="4F81BD" w:themeColor="accent1"/>
        </w:rPr>
      </w:pPr>
      <w:r w:rsidRPr="00D42091">
        <w:rPr>
          <w:b/>
        </w:rPr>
        <w:t>a)</w:t>
      </w:r>
      <w:r w:rsidRPr="00831D1B">
        <w:tab/>
      </w:r>
      <w:r w:rsidR="00F0363D">
        <w:t xml:space="preserve">Um er að ræða </w:t>
      </w:r>
      <w:r>
        <w:t>allan kostnað, efni, vinnu og flutning efnis vegna móta fyrir sökkla og þrifalag</w:t>
      </w:r>
      <w:r w:rsidR="00F0363D">
        <w:t>s</w:t>
      </w:r>
      <w:r>
        <w:t xml:space="preserve"> undir sökkul. </w:t>
      </w:r>
      <w:r w:rsidRPr="00902305">
        <w:rPr>
          <w:i/>
          <w:color w:val="4F81BD" w:themeColor="accent1"/>
        </w:rPr>
        <w:t>[nánari lýsing]</w:t>
      </w:r>
    </w:p>
    <w:p w14:paraId="76F1EF3C" w14:textId="77777777" w:rsidR="002F0A56" w:rsidRDefault="002F0A56" w:rsidP="00D42091">
      <w:pPr>
        <w:pStyle w:val="NoSpacing"/>
      </w:pPr>
      <w:r w:rsidRPr="00D42091">
        <w:rPr>
          <w:b/>
        </w:rPr>
        <w:t>c)</w:t>
      </w:r>
      <w:r>
        <w:tab/>
      </w:r>
      <w:r w:rsidRPr="003A50EC">
        <w:rPr>
          <w:i/>
          <w:color w:val="4F81BD" w:themeColor="accent1"/>
        </w:rPr>
        <w:t>[lýsing, tilv. í uppdrætti]</w:t>
      </w:r>
      <w:r>
        <w:rPr>
          <w:i/>
          <w:color w:val="4F81BD" w:themeColor="accent1"/>
        </w:rPr>
        <w:t xml:space="preserve">. </w:t>
      </w:r>
    </w:p>
    <w:p w14:paraId="76F1EF3D" w14:textId="77777777" w:rsidR="002F0A56" w:rsidRPr="0047272B" w:rsidRDefault="002F0A56" w:rsidP="00D42091">
      <w:pPr>
        <w:pStyle w:val="Liurtexti"/>
      </w:pPr>
      <w:r w:rsidRPr="00D42091">
        <w:rPr>
          <w:b/>
        </w:rPr>
        <w:t>e)</w:t>
      </w:r>
      <w:r>
        <w:t xml:space="preserve">  </w:t>
      </w:r>
      <w:r w:rsidRPr="004D70EE">
        <w:t xml:space="preserve">Gátpunkta, sem fram koma á uppdráttum, má nota til að setja út eða </w:t>
      </w:r>
      <w:r w:rsidR="00D42091">
        <w:t xml:space="preserve">sannreyna </w:t>
      </w:r>
      <w:r w:rsidRPr="004D70EE">
        <w:t>útsetningu sökkla. Sannreyna skal innbyrðis mál</w:t>
      </w:r>
      <w:r w:rsidR="0049396B">
        <w:t>,</w:t>
      </w:r>
      <w:r w:rsidRPr="004D70EE">
        <w:t xml:space="preserve"> skv. málsetningum á uppdráttum.</w:t>
      </w:r>
    </w:p>
    <w:p w14:paraId="76F1EF3E" w14:textId="77777777" w:rsidR="002F0A56" w:rsidRPr="007A12AC" w:rsidRDefault="002F0A56" w:rsidP="00D42091">
      <w:pPr>
        <w:ind w:left="1134" w:hanging="283"/>
      </w:pPr>
      <w:r w:rsidRPr="00D42091">
        <w:rPr>
          <w:b/>
        </w:rPr>
        <w:t>f)</w:t>
      </w:r>
      <w:r w:rsidRPr="00831D1B">
        <w:tab/>
      </w:r>
      <w:r>
        <w:t>Uppgjör miðast við mældan flöt mótaklæðningar</w:t>
      </w:r>
      <w:r w:rsidR="0049396B">
        <w:t>,</w:t>
      </w:r>
      <w:r>
        <w:t xml:space="preserve"> óháð því hvort flötur er sléttur eða rásaður. Op minni en 0,5 m</w:t>
      </w:r>
      <w:r w:rsidRPr="007A12AC">
        <w:rPr>
          <w:vertAlign w:val="superscript"/>
        </w:rPr>
        <w:t>2</w:t>
      </w:r>
      <w:r>
        <w:t xml:space="preserve"> eru ekki dregin frá</w:t>
      </w:r>
      <w:r w:rsidRPr="00077A69">
        <w:t>.</w:t>
      </w:r>
    </w:p>
    <w:p w14:paraId="76F1EF3F" w14:textId="77777777" w:rsidR="002F0A56" w:rsidRPr="007F5C04" w:rsidRDefault="00D42091" w:rsidP="00D42091">
      <w:r>
        <w:tab/>
      </w:r>
      <w:r w:rsidR="002F0A56" w:rsidRPr="007F5C04">
        <w:t>Mælieining:</w:t>
      </w:r>
      <w:r w:rsidR="002F0A56" w:rsidRPr="007F5C04">
        <w:tab/>
        <w:t>m</w:t>
      </w:r>
      <w:r w:rsidR="002F0A56" w:rsidRPr="007A12AC">
        <w:rPr>
          <w:vertAlign w:val="superscript"/>
        </w:rPr>
        <w:t>2</w:t>
      </w:r>
    </w:p>
    <w:p w14:paraId="76F1EF40" w14:textId="77777777" w:rsidR="007A12AC" w:rsidRPr="002026BC" w:rsidRDefault="007A12AC" w:rsidP="007A12AC">
      <w:pPr>
        <w:pStyle w:val="Kaflafyrirsagnir"/>
      </w:pPr>
      <w:bookmarkStart w:id="4" w:name="_Toc533158803"/>
      <w:r>
        <w:lastRenderedPageBreak/>
        <w:t>84.22 Mót stoðveggja</w:t>
      </w:r>
      <w:bookmarkEnd w:id="4"/>
    </w:p>
    <w:p w14:paraId="76F1EF41" w14:textId="77777777" w:rsidR="007A12AC" w:rsidRDefault="007A12AC" w:rsidP="00D42091">
      <w:pPr>
        <w:ind w:left="1134" w:hanging="283"/>
        <w:rPr>
          <w:i/>
          <w:color w:val="4F81BD" w:themeColor="accent1"/>
        </w:rPr>
      </w:pPr>
      <w:r w:rsidRPr="00D42091">
        <w:rPr>
          <w:b/>
        </w:rPr>
        <w:t>a)</w:t>
      </w:r>
      <w:r w:rsidRPr="00831D1B">
        <w:tab/>
      </w:r>
      <w:r w:rsidR="00F0363D">
        <w:t xml:space="preserve">Um er að ræða </w:t>
      </w:r>
      <w:r w:rsidR="004D70EE">
        <w:t>allan kostnað, efni, vinnu og flutning efnis vegna móta fyrir stoðveggi</w:t>
      </w:r>
      <w:r w:rsidR="00F0363D">
        <w:t>.</w:t>
      </w:r>
      <w:r w:rsidR="004D70EE">
        <w:t xml:space="preserve"> Mót undirstöðu stoðveggjar fellur undir verkþátt 84.21 Mót sökkla.   </w:t>
      </w:r>
      <w:r w:rsidRPr="00902305">
        <w:rPr>
          <w:i/>
          <w:color w:val="4F81BD" w:themeColor="accent1"/>
        </w:rPr>
        <w:t>[nánari lýsing]</w:t>
      </w:r>
    </w:p>
    <w:p w14:paraId="76F1EF42" w14:textId="77777777" w:rsidR="007A12AC" w:rsidRDefault="007A12AC" w:rsidP="00D42091">
      <w:pPr>
        <w:pStyle w:val="NoSpacing"/>
        <w:rPr>
          <w:b/>
          <w:bCs/>
          <w:i/>
          <w:iCs/>
          <w:color w:val="4F81BD" w:themeColor="accent1"/>
        </w:rPr>
      </w:pPr>
      <w:r w:rsidRPr="00D42091">
        <w:rPr>
          <w:b/>
        </w:rPr>
        <w:t>c)</w:t>
      </w:r>
      <w:r>
        <w:tab/>
      </w:r>
      <w:r w:rsidRPr="003A50EC">
        <w:rPr>
          <w:i/>
          <w:color w:val="4F81BD" w:themeColor="accent1"/>
        </w:rPr>
        <w:t>[lýsing, tilv. í uppdrætti]</w:t>
      </w:r>
      <w:r>
        <w:rPr>
          <w:i/>
          <w:color w:val="4F81BD" w:themeColor="accent1"/>
        </w:rPr>
        <w:t>.</w:t>
      </w:r>
    </w:p>
    <w:p w14:paraId="76F1EF43" w14:textId="77777777" w:rsidR="007A12AC" w:rsidRPr="007A12AC" w:rsidRDefault="007A12AC" w:rsidP="00D42091">
      <w:pPr>
        <w:ind w:left="1134" w:hanging="283"/>
      </w:pPr>
      <w:r w:rsidRPr="00D42091">
        <w:rPr>
          <w:b/>
        </w:rPr>
        <w:t>f)</w:t>
      </w:r>
      <w:r w:rsidRPr="00831D1B">
        <w:tab/>
      </w:r>
      <w:r>
        <w:t>Uppgjör miðast við mældan flöt mótaklæðningar</w:t>
      </w:r>
      <w:r w:rsidR="0049396B">
        <w:t>,</w:t>
      </w:r>
      <w:r>
        <w:t xml:space="preserve"> óháð því hvort flötur er sléttur eða rásaður. Op minni en 0,5 m</w:t>
      </w:r>
      <w:r w:rsidRPr="007A12AC">
        <w:rPr>
          <w:vertAlign w:val="superscript"/>
        </w:rPr>
        <w:t>2</w:t>
      </w:r>
      <w:r>
        <w:t xml:space="preserve"> eru ekki dregin frá</w:t>
      </w:r>
      <w:r w:rsidRPr="00077A69">
        <w:t>.</w:t>
      </w:r>
    </w:p>
    <w:p w14:paraId="76F1EF44" w14:textId="77777777" w:rsidR="007A12AC" w:rsidRPr="007F5C04" w:rsidRDefault="0067752D" w:rsidP="00D42091">
      <w:r>
        <w:tab/>
      </w:r>
      <w:r w:rsidR="007A12AC" w:rsidRPr="007F5C04">
        <w:t>Mælieining:</w:t>
      </w:r>
      <w:r w:rsidR="007A12AC" w:rsidRPr="007F5C04">
        <w:tab/>
        <w:t>m</w:t>
      </w:r>
      <w:r w:rsidR="007A12AC" w:rsidRPr="007A12AC">
        <w:rPr>
          <w:vertAlign w:val="superscript"/>
        </w:rPr>
        <w:t>2</w:t>
      </w:r>
    </w:p>
    <w:p w14:paraId="76F1EF45" w14:textId="77777777" w:rsidR="007A12AC" w:rsidRPr="002026BC" w:rsidRDefault="007A12AC" w:rsidP="007A12AC">
      <w:pPr>
        <w:pStyle w:val="Kaflafyrirsagnir"/>
      </w:pPr>
      <w:bookmarkStart w:id="5" w:name="_Toc533158804"/>
      <w:r>
        <w:t>84.2</w:t>
      </w:r>
      <w:r w:rsidR="004D70EE">
        <w:t>3</w:t>
      </w:r>
      <w:r>
        <w:t xml:space="preserve">  Mót</w:t>
      </w:r>
      <w:r w:rsidR="004D70EE">
        <w:t xml:space="preserve"> stöpla</w:t>
      </w:r>
      <w:bookmarkEnd w:id="5"/>
    </w:p>
    <w:p w14:paraId="76F1EF46" w14:textId="77777777" w:rsidR="007A12AC" w:rsidRDefault="007A12AC" w:rsidP="00D42091">
      <w:pPr>
        <w:ind w:left="1134" w:hanging="283"/>
        <w:rPr>
          <w:i/>
          <w:color w:val="4F81BD" w:themeColor="accent1"/>
        </w:rPr>
      </w:pPr>
      <w:r w:rsidRPr="00D42091">
        <w:rPr>
          <w:b/>
        </w:rPr>
        <w:t>a)</w:t>
      </w:r>
      <w:r w:rsidRPr="00831D1B">
        <w:tab/>
      </w:r>
      <w:r w:rsidR="00F0363D">
        <w:t xml:space="preserve">Um er að ræða </w:t>
      </w:r>
      <w:r w:rsidR="004D70EE">
        <w:t xml:space="preserve">allan kostnað, efni, vinnu og flutning efnis vegna móta fyrir stöpla </w:t>
      </w:r>
      <w:r w:rsidR="003D375F" w:rsidRPr="00D42091">
        <w:t>ásamt staðsetningu og frágangi á innsteyptum festingum í legusæti</w:t>
      </w:r>
      <w:r w:rsidR="0049396B">
        <w:t>.</w:t>
      </w:r>
      <w:r w:rsidR="004D70EE" w:rsidRPr="00D42091">
        <w:t xml:space="preserve"> </w:t>
      </w:r>
      <w:r w:rsidR="00F0363D">
        <w:rPr>
          <w:color w:val="FF0000"/>
        </w:rPr>
        <w:t xml:space="preserve"> </w:t>
      </w:r>
      <w:r w:rsidRPr="00902305">
        <w:rPr>
          <w:i/>
          <w:color w:val="4F81BD" w:themeColor="accent1"/>
        </w:rPr>
        <w:t>[nánari lýsing]</w:t>
      </w:r>
    </w:p>
    <w:p w14:paraId="76F1EF47" w14:textId="77777777" w:rsidR="007A12AC" w:rsidRDefault="007A12AC" w:rsidP="00D42091">
      <w:pPr>
        <w:pStyle w:val="NoSpacing"/>
        <w:rPr>
          <w:i/>
          <w:color w:val="4F81BD" w:themeColor="accent1"/>
        </w:rPr>
      </w:pPr>
      <w:r w:rsidRPr="00D42091">
        <w:rPr>
          <w:b/>
        </w:rPr>
        <w:t>c)</w:t>
      </w:r>
      <w:r>
        <w:tab/>
      </w:r>
      <w:r w:rsidRPr="003A50EC">
        <w:rPr>
          <w:i/>
          <w:color w:val="4F81BD" w:themeColor="accent1"/>
        </w:rPr>
        <w:t>[lýsing, tilv. í uppdrætti]</w:t>
      </w:r>
      <w:r>
        <w:rPr>
          <w:i/>
          <w:color w:val="4F81BD" w:themeColor="accent1"/>
        </w:rPr>
        <w:t>.</w:t>
      </w:r>
    </w:p>
    <w:p w14:paraId="76F1EF48" w14:textId="77777777" w:rsidR="004D70EE" w:rsidRPr="0047272B" w:rsidRDefault="003D375F" w:rsidP="00D42091">
      <w:pPr>
        <w:pStyle w:val="Liurtexti"/>
      </w:pPr>
      <w:r w:rsidRPr="00D42091">
        <w:rPr>
          <w:b/>
        </w:rPr>
        <w:t>e)</w:t>
      </w:r>
      <w:r>
        <w:t xml:space="preserve">  </w:t>
      </w:r>
      <w:r w:rsidR="004D70EE" w:rsidRPr="003D375F">
        <w:t>Gátpunkta, sem fram koma á uppdráttum, má nota til að setja út eða sannreyna útsetningu stöpla. Innbyrðis nákvæmni á staðsetningu á innsteyptum festi</w:t>
      </w:r>
      <w:r w:rsidRPr="003D375F">
        <w:t>ngum</w:t>
      </w:r>
      <w:r w:rsidR="004D70EE" w:rsidRPr="003D375F">
        <w:t xml:space="preserve"> skal vera +/- 5 mm í báðar áttir í láréttu plani,  +5/-0 mm í heildarhæð</w:t>
      </w:r>
      <w:r w:rsidR="004D70EE" w:rsidRPr="0047272B">
        <w:t xml:space="preserve">.  </w:t>
      </w:r>
    </w:p>
    <w:p w14:paraId="76F1EF49" w14:textId="77777777" w:rsidR="007A12AC" w:rsidRPr="007A12AC" w:rsidRDefault="007A12AC" w:rsidP="00D42091">
      <w:pPr>
        <w:ind w:left="1134" w:hanging="283"/>
      </w:pPr>
      <w:r w:rsidRPr="00D42091">
        <w:rPr>
          <w:b/>
        </w:rPr>
        <w:t>f)</w:t>
      </w:r>
      <w:r w:rsidRPr="00831D1B">
        <w:tab/>
      </w:r>
      <w:r>
        <w:t>Uppgjör miðast við mældan flöt mótaklæðningar</w:t>
      </w:r>
      <w:r w:rsidR="0049396B">
        <w:t>,</w:t>
      </w:r>
      <w:r>
        <w:t xml:space="preserve"> óháð því hvort flötur er sléttur eða rásaður. Op minni en 0,5 m</w:t>
      </w:r>
      <w:r w:rsidRPr="007A12AC">
        <w:rPr>
          <w:vertAlign w:val="superscript"/>
        </w:rPr>
        <w:t>2</w:t>
      </w:r>
      <w:r>
        <w:t xml:space="preserve"> eru ekki dregin frá</w:t>
      </w:r>
      <w:r w:rsidRPr="00077A69">
        <w:t>.</w:t>
      </w:r>
    </w:p>
    <w:p w14:paraId="76F1EF4A" w14:textId="77777777" w:rsidR="007A12AC" w:rsidRPr="007F5C04" w:rsidRDefault="0067752D" w:rsidP="00D42091">
      <w:r>
        <w:tab/>
      </w:r>
      <w:r w:rsidR="007A12AC" w:rsidRPr="007F5C04">
        <w:t>Mælieining:</w:t>
      </w:r>
      <w:r w:rsidR="007A12AC" w:rsidRPr="007F5C04">
        <w:tab/>
        <w:t>m</w:t>
      </w:r>
      <w:r w:rsidR="007A12AC" w:rsidRPr="007A12AC">
        <w:rPr>
          <w:vertAlign w:val="superscript"/>
        </w:rPr>
        <w:t>2</w:t>
      </w:r>
    </w:p>
    <w:p w14:paraId="76F1EF4B" w14:textId="77777777" w:rsidR="007A12AC" w:rsidRPr="002026BC" w:rsidRDefault="007A12AC" w:rsidP="00D42091">
      <w:pPr>
        <w:pStyle w:val="Kaflafyrirsagnir"/>
        <w:ind w:firstLine="0"/>
      </w:pPr>
      <w:bookmarkStart w:id="6" w:name="_Toc533158805"/>
      <w:r>
        <w:t>84.2</w:t>
      </w:r>
      <w:r w:rsidR="00AB7A51">
        <w:t>4</w:t>
      </w:r>
      <w:r>
        <w:t xml:space="preserve">  Mót</w:t>
      </w:r>
      <w:r w:rsidR="00AB7A51">
        <w:t xml:space="preserve"> landstöpla með steyptri akbraut</w:t>
      </w:r>
      <w:bookmarkEnd w:id="6"/>
    </w:p>
    <w:p w14:paraId="76F1EF4C" w14:textId="77777777" w:rsidR="007A12AC" w:rsidRDefault="007A12AC" w:rsidP="00D42091">
      <w:pPr>
        <w:ind w:left="1134" w:hanging="283"/>
        <w:rPr>
          <w:i/>
          <w:color w:val="4F81BD" w:themeColor="accent1"/>
        </w:rPr>
      </w:pPr>
      <w:r w:rsidRPr="00D42091">
        <w:rPr>
          <w:b/>
        </w:rPr>
        <w:t>a)</w:t>
      </w:r>
      <w:r w:rsidRPr="00831D1B">
        <w:tab/>
      </w:r>
      <w:r w:rsidR="00F0363D">
        <w:t xml:space="preserve">Um er að ræða </w:t>
      </w:r>
      <w:r w:rsidR="00AB7A51">
        <w:t>allan kostnað, efni, vinnu og flutning efnis vegna móta fyrir lan</w:t>
      </w:r>
      <w:r w:rsidR="00D42091">
        <w:t>d</w:t>
      </w:r>
      <w:r w:rsidR="00AB7A51">
        <w:t>stöpla með steyptri akbraut</w:t>
      </w:r>
      <w:r w:rsidR="00F0363D">
        <w:t>.</w:t>
      </w:r>
      <w:r>
        <w:t xml:space="preserve"> </w:t>
      </w:r>
      <w:r w:rsidRPr="00902305">
        <w:rPr>
          <w:i/>
          <w:color w:val="4F81BD" w:themeColor="accent1"/>
        </w:rPr>
        <w:t>[nánari lýsing]</w:t>
      </w:r>
    </w:p>
    <w:p w14:paraId="76F1EF4D" w14:textId="77777777" w:rsidR="00AB7A51" w:rsidRDefault="00AB7A51" w:rsidP="00D42091">
      <w:pPr>
        <w:pStyle w:val="NoSpacing"/>
        <w:rPr>
          <w:b/>
          <w:bCs/>
          <w:i/>
          <w:iCs/>
          <w:color w:val="4F81BD" w:themeColor="accent1"/>
        </w:rPr>
      </w:pPr>
      <w:r w:rsidRPr="00D42091">
        <w:rPr>
          <w:b/>
        </w:rPr>
        <w:t>c)</w:t>
      </w:r>
      <w:r w:rsidRPr="00D42091">
        <w:rPr>
          <w:b/>
        </w:rPr>
        <w:tab/>
      </w:r>
      <w:r w:rsidRPr="003A50EC">
        <w:rPr>
          <w:i/>
          <w:color w:val="4F81BD" w:themeColor="accent1"/>
        </w:rPr>
        <w:t>[lýsing, tilv. í uppdrætti]</w:t>
      </w:r>
      <w:r>
        <w:rPr>
          <w:i/>
          <w:color w:val="4F81BD" w:themeColor="accent1"/>
        </w:rPr>
        <w:t>.</w:t>
      </w:r>
    </w:p>
    <w:p w14:paraId="76F1EF4E" w14:textId="77777777" w:rsidR="007A12AC" w:rsidRPr="007A12AC" w:rsidRDefault="007A12AC" w:rsidP="00D42091">
      <w:pPr>
        <w:ind w:left="1134" w:hanging="283"/>
      </w:pPr>
      <w:r w:rsidRPr="00D42091">
        <w:rPr>
          <w:b/>
        </w:rPr>
        <w:t>f)</w:t>
      </w:r>
      <w:r w:rsidRPr="00831D1B">
        <w:tab/>
      </w:r>
      <w:r>
        <w:t>Uppgjör miðast við mældan flöt mótaklæðningar</w:t>
      </w:r>
      <w:r w:rsidR="0049396B">
        <w:t>,</w:t>
      </w:r>
      <w:r>
        <w:t xml:space="preserve"> óháð því hvort flötur er sléttur eða rásaður. Op minni en 0,5 m</w:t>
      </w:r>
      <w:r w:rsidRPr="007A12AC">
        <w:rPr>
          <w:vertAlign w:val="superscript"/>
        </w:rPr>
        <w:t>2</w:t>
      </w:r>
      <w:r>
        <w:t xml:space="preserve"> eru ekki dregin frá</w:t>
      </w:r>
      <w:r w:rsidRPr="00077A69">
        <w:t>.</w:t>
      </w:r>
    </w:p>
    <w:p w14:paraId="76F1EF4F" w14:textId="77777777" w:rsidR="007A12AC" w:rsidRPr="007F5C04" w:rsidRDefault="0067752D" w:rsidP="00D42091">
      <w:r>
        <w:tab/>
      </w:r>
      <w:r w:rsidR="007A12AC" w:rsidRPr="007F5C04">
        <w:t>Mælieining:</w:t>
      </w:r>
      <w:r w:rsidR="007A12AC" w:rsidRPr="007F5C04">
        <w:tab/>
        <w:t>m</w:t>
      </w:r>
      <w:r w:rsidR="007A12AC" w:rsidRPr="007A12AC">
        <w:rPr>
          <w:vertAlign w:val="superscript"/>
        </w:rPr>
        <w:t>2</w:t>
      </w:r>
    </w:p>
    <w:p w14:paraId="76F1EF50" w14:textId="77777777" w:rsidR="007A12AC" w:rsidRPr="002026BC" w:rsidRDefault="007A12AC" w:rsidP="007A12AC">
      <w:pPr>
        <w:pStyle w:val="Kaflafyrirsagnir"/>
      </w:pPr>
      <w:bookmarkStart w:id="7" w:name="_Toc533158806"/>
      <w:r>
        <w:t>84.2</w:t>
      </w:r>
      <w:r w:rsidR="00AB7A51">
        <w:t>5</w:t>
      </w:r>
      <w:r>
        <w:t xml:space="preserve">  Mót</w:t>
      </w:r>
      <w:r w:rsidR="00AB7A51">
        <w:t xml:space="preserve"> yfirbygginga</w:t>
      </w:r>
      <w:bookmarkEnd w:id="7"/>
    </w:p>
    <w:p w14:paraId="76F1EF51" w14:textId="77777777" w:rsidR="007A12AC" w:rsidRDefault="007A12AC" w:rsidP="00D42091">
      <w:pPr>
        <w:ind w:left="1134" w:hanging="283"/>
        <w:rPr>
          <w:i/>
          <w:color w:val="4F81BD" w:themeColor="accent1"/>
        </w:rPr>
      </w:pPr>
      <w:r w:rsidRPr="00D42091">
        <w:rPr>
          <w:b/>
        </w:rPr>
        <w:t>a)</w:t>
      </w:r>
      <w:r w:rsidRPr="00831D1B">
        <w:tab/>
      </w:r>
      <w:r w:rsidR="00F0363D">
        <w:t xml:space="preserve">Um er að ræða </w:t>
      </w:r>
      <w:r w:rsidR="00AB7A51">
        <w:t>allan kostnað, efni, vinnu og flutning efnis vegna móta fyrir yfirbyggingu</w:t>
      </w:r>
      <w:r w:rsidR="00F0363D">
        <w:t>.</w:t>
      </w:r>
      <w:r>
        <w:t xml:space="preserve"> </w:t>
      </w:r>
      <w:r w:rsidRPr="00902305">
        <w:rPr>
          <w:i/>
          <w:color w:val="4F81BD" w:themeColor="accent1"/>
        </w:rPr>
        <w:t>[nánari lýsing]</w:t>
      </w:r>
    </w:p>
    <w:p w14:paraId="76F1EF52" w14:textId="77777777" w:rsidR="00AB7A51" w:rsidRPr="00AB7A51" w:rsidRDefault="00F0363D" w:rsidP="00D42091">
      <w:pPr>
        <w:pStyle w:val="Liurtexti"/>
      </w:pPr>
      <w:r w:rsidRPr="00D42091">
        <w:rPr>
          <w:b/>
        </w:rPr>
        <w:t>b</w:t>
      </w:r>
      <w:r w:rsidR="0079261B" w:rsidRPr="00D42091">
        <w:rPr>
          <w:b/>
        </w:rPr>
        <w:t>)</w:t>
      </w:r>
      <w:r w:rsidR="0079261B">
        <w:t xml:space="preserve">  </w:t>
      </w:r>
      <w:r w:rsidR="00AB7A51" w:rsidRPr="00F0363D">
        <w:rPr>
          <w:rFonts w:eastAsiaTheme="minorHAnsi" w:cstheme="minorBidi"/>
          <w:i/>
          <w:noProof w:val="0"/>
          <w:color w:val="4F81BD" w:themeColor="accent1"/>
          <w:szCs w:val="22"/>
          <w:lang w:eastAsia="en-US"/>
        </w:rPr>
        <w:t>[</w:t>
      </w:r>
      <w:r w:rsidRPr="00F0363D">
        <w:rPr>
          <w:rFonts w:eastAsiaTheme="minorHAnsi" w:cstheme="minorBidi"/>
          <w:i/>
          <w:noProof w:val="0"/>
          <w:color w:val="4F81BD" w:themeColor="accent1"/>
          <w:szCs w:val="22"/>
          <w:lang w:eastAsia="en-US"/>
        </w:rPr>
        <w:t xml:space="preserve">nánari </w:t>
      </w:r>
      <w:r w:rsidR="00AB7A51" w:rsidRPr="00F0363D">
        <w:rPr>
          <w:rFonts w:eastAsiaTheme="minorHAnsi" w:cstheme="minorBidi"/>
          <w:i/>
          <w:noProof w:val="0"/>
          <w:color w:val="4F81BD" w:themeColor="accent1"/>
          <w:szCs w:val="22"/>
          <w:lang w:eastAsia="en-US"/>
        </w:rPr>
        <w:t>lýsing,].</w:t>
      </w:r>
      <w:r w:rsidR="00AB7A51">
        <w:t xml:space="preserve">  </w:t>
      </w:r>
      <w:r w:rsidR="00AB7A51" w:rsidRPr="00AB7A51">
        <w:t xml:space="preserve">Mót yfirbyggingar mega vera úr allt að </w:t>
      </w:r>
      <w:r w:rsidRPr="00F0363D">
        <w:rPr>
          <w:rFonts w:eastAsiaTheme="minorHAnsi" w:cstheme="minorBidi"/>
          <w:i/>
          <w:noProof w:val="0"/>
          <w:color w:val="4F81BD" w:themeColor="accent1"/>
          <w:szCs w:val="22"/>
          <w:lang w:eastAsia="en-US"/>
        </w:rPr>
        <w:t>[</w:t>
      </w:r>
      <w:r w:rsidR="00AB7A51" w:rsidRPr="00F0363D">
        <w:rPr>
          <w:rFonts w:eastAsiaTheme="minorHAnsi" w:cstheme="minorBidi"/>
          <w:i/>
          <w:noProof w:val="0"/>
          <w:color w:val="4F81BD" w:themeColor="accent1"/>
          <w:szCs w:val="22"/>
          <w:lang w:eastAsia="en-US"/>
        </w:rPr>
        <w:t>500 mm</w:t>
      </w:r>
      <w:r w:rsidRPr="00F0363D">
        <w:rPr>
          <w:rFonts w:eastAsiaTheme="minorHAnsi" w:cstheme="minorBidi"/>
          <w:i/>
          <w:noProof w:val="0"/>
          <w:color w:val="4F81BD" w:themeColor="accent1"/>
          <w:szCs w:val="22"/>
          <w:lang w:eastAsia="en-US"/>
        </w:rPr>
        <w:t>]</w:t>
      </w:r>
      <w:r w:rsidR="00AB7A51" w:rsidRPr="00AB7A51">
        <w:t xml:space="preserve"> breiðum mótaborðum. </w:t>
      </w:r>
    </w:p>
    <w:p w14:paraId="76F1EF53" w14:textId="77777777" w:rsidR="00AB7A51" w:rsidRPr="00AB7A51" w:rsidRDefault="00AB7A51" w:rsidP="00D42091">
      <w:pPr>
        <w:pStyle w:val="Liurtexti"/>
        <w:ind w:firstLine="0"/>
      </w:pPr>
      <w:r w:rsidRPr="00AB7A51">
        <w:t xml:space="preserve">Í mót á bríkurhliðar skal nota </w:t>
      </w:r>
      <w:r w:rsidR="00F0363D" w:rsidRPr="00F0363D">
        <w:rPr>
          <w:i/>
        </w:rPr>
        <w:t>[</w:t>
      </w:r>
      <w:r w:rsidRPr="00F0363D">
        <w:rPr>
          <w:i/>
        </w:rPr>
        <w:t>70-100 mm</w:t>
      </w:r>
      <w:r w:rsidR="00F0363D" w:rsidRPr="00F0363D">
        <w:rPr>
          <w:i/>
        </w:rPr>
        <w:t>]</w:t>
      </w:r>
      <w:r w:rsidRPr="00AB7A51">
        <w:t xml:space="preserve"> þykktarheflaðan borðvið þar sem óheflaðri hliðinni er snúið að steypunni. </w:t>
      </w:r>
    </w:p>
    <w:p w14:paraId="76F1EF54" w14:textId="77777777" w:rsidR="007A12AC" w:rsidRDefault="007A12AC" w:rsidP="00D42091">
      <w:pPr>
        <w:pStyle w:val="NoSpacing"/>
        <w:rPr>
          <w:i/>
          <w:color w:val="4F81BD" w:themeColor="accent1"/>
        </w:rPr>
      </w:pPr>
      <w:r w:rsidRPr="00D42091">
        <w:rPr>
          <w:b/>
        </w:rPr>
        <w:t>c)</w:t>
      </w:r>
      <w:r>
        <w:tab/>
      </w:r>
      <w:r w:rsidRPr="003A50EC">
        <w:rPr>
          <w:i/>
          <w:color w:val="4F81BD" w:themeColor="accent1"/>
        </w:rPr>
        <w:t>[lýsing, tilv. í uppdrætti]</w:t>
      </w:r>
      <w:r>
        <w:rPr>
          <w:i/>
          <w:color w:val="4F81BD" w:themeColor="accent1"/>
        </w:rPr>
        <w:t>.</w:t>
      </w:r>
      <w:r w:rsidR="00AB7A51">
        <w:rPr>
          <w:i/>
          <w:color w:val="4F81BD" w:themeColor="accent1"/>
        </w:rPr>
        <w:t xml:space="preserve"> t.d.</w:t>
      </w:r>
    </w:p>
    <w:p w14:paraId="76F1EF55" w14:textId="77777777" w:rsidR="007A12AC" w:rsidRPr="007A12AC" w:rsidRDefault="007A12AC" w:rsidP="00D42091">
      <w:pPr>
        <w:pStyle w:val="NoSpacing"/>
        <w:tabs>
          <w:tab w:val="clear" w:pos="284"/>
        </w:tabs>
        <w:ind w:left="1134" w:hanging="283"/>
      </w:pPr>
      <w:r w:rsidRPr="00D42091">
        <w:rPr>
          <w:b/>
        </w:rPr>
        <w:t>f)</w:t>
      </w:r>
      <w:r w:rsidRPr="00831D1B">
        <w:tab/>
      </w:r>
      <w:r>
        <w:t>Uppgjör miðast við mældan flöt mótaklæðningar</w:t>
      </w:r>
      <w:r w:rsidR="0049396B">
        <w:t>,</w:t>
      </w:r>
      <w:r>
        <w:t xml:space="preserve"> óháð því hvort flötur er sléttur eða rásaður. Op minni en 0,5 m</w:t>
      </w:r>
      <w:r w:rsidRPr="007A12AC">
        <w:rPr>
          <w:vertAlign w:val="superscript"/>
        </w:rPr>
        <w:t>2</w:t>
      </w:r>
      <w:r>
        <w:t xml:space="preserve"> eru ekki dregin frá</w:t>
      </w:r>
      <w:r w:rsidRPr="00077A69">
        <w:t>.</w:t>
      </w:r>
    </w:p>
    <w:p w14:paraId="76F1EF56" w14:textId="77777777" w:rsidR="007A12AC" w:rsidRPr="007F5C04" w:rsidRDefault="00D42091" w:rsidP="00D42091">
      <w:r>
        <w:tab/>
      </w:r>
      <w:r w:rsidR="007A12AC" w:rsidRPr="007F5C04">
        <w:t>Mælieining:</w:t>
      </w:r>
      <w:r w:rsidR="007A12AC" w:rsidRPr="007F5C04">
        <w:tab/>
        <w:t>m</w:t>
      </w:r>
      <w:r w:rsidR="007A12AC" w:rsidRPr="007A12AC">
        <w:rPr>
          <w:vertAlign w:val="superscript"/>
        </w:rPr>
        <w:t>2</w:t>
      </w:r>
    </w:p>
    <w:p w14:paraId="76F1EF57" w14:textId="77777777" w:rsidR="007A12AC" w:rsidRPr="002026BC" w:rsidRDefault="007A12AC" w:rsidP="007A12AC">
      <w:pPr>
        <w:pStyle w:val="Kaflafyrirsagnir"/>
      </w:pPr>
      <w:bookmarkStart w:id="8" w:name="_Toc533158807"/>
      <w:r>
        <w:lastRenderedPageBreak/>
        <w:t>84.2</w:t>
      </w:r>
      <w:r w:rsidR="0079261B">
        <w:t>51</w:t>
      </w:r>
      <w:r>
        <w:t xml:space="preserve">  Mót</w:t>
      </w:r>
      <w:r w:rsidR="0079261B">
        <w:t xml:space="preserve"> plötubrúa</w:t>
      </w:r>
      <w:bookmarkEnd w:id="8"/>
    </w:p>
    <w:p w14:paraId="76F1EF58" w14:textId="77777777" w:rsidR="007A12AC" w:rsidRDefault="007A12AC" w:rsidP="00D42091">
      <w:pPr>
        <w:ind w:left="1134" w:hanging="283"/>
        <w:rPr>
          <w:i/>
          <w:color w:val="4F81BD" w:themeColor="accent1"/>
        </w:rPr>
      </w:pPr>
      <w:r w:rsidRPr="00D42091">
        <w:rPr>
          <w:b/>
        </w:rPr>
        <w:t>a)</w:t>
      </w:r>
      <w:r w:rsidRPr="00831D1B">
        <w:tab/>
      </w:r>
      <w:r w:rsidR="00F0363D">
        <w:t xml:space="preserve">Um er að ræða </w:t>
      </w:r>
      <w:r w:rsidR="0079261B">
        <w:t>allan kostnað, efni, vinnu og flutning efnis vegna móta fyrir plötubrýr</w:t>
      </w:r>
      <w:r>
        <w:t xml:space="preserve"> </w:t>
      </w:r>
      <w:r w:rsidRPr="00902305">
        <w:rPr>
          <w:i/>
          <w:color w:val="4F81BD" w:themeColor="accent1"/>
        </w:rPr>
        <w:t>[nánari lýsing]</w:t>
      </w:r>
    </w:p>
    <w:p w14:paraId="76F1EF59" w14:textId="77777777" w:rsidR="007A12AC" w:rsidRDefault="007A12AC" w:rsidP="00D42091">
      <w:pPr>
        <w:pStyle w:val="NoSpacing"/>
        <w:rPr>
          <w:b/>
          <w:bCs/>
          <w:i/>
          <w:iCs/>
          <w:color w:val="4F81BD" w:themeColor="accent1"/>
        </w:rPr>
      </w:pPr>
      <w:r w:rsidRPr="00D42091">
        <w:rPr>
          <w:b/>
        </w:rPr>
        <w:t>c)</w:t>
      </w:r>
      <w:r w:rsidRPr="00D42091">
        <w:rPr>
          <w:b/>
        </w:rPr>
        <w:tab/>
      </w:r>
      <w:r w:rsidRPr="003A50EC">
        <w:rPr>
          <w:i/>
          <w:color w:val="4F81BD" w:themeColor="accent1"/>
        </w:rPr>
        <w:t>[lýsing, tilv. í uppdrætti]</w:t>
      </w:r>
      <w:r>
        <w:rPr>
          <w:i/>
          <w:color w:val="4F81BD" w:themeColor="accent1"/>
        </w:rPr>
        <w:t>.</w:t>
      </w:r>
    </w:p>
    <w:p w14:paraId="76F1EF5A" w14:textId="77777777" w:rsidR="007A12AC" w:rsidRPr="007A12AC" w:rsidRDefault="007A12AC" w:rsidP="00D42091">
      <w:pPr>
        <w:ind w:left="1134" w:hanging="283"/>
      </w:pPr>
      <w:r w:rsidRPr="00D42091">
        <w:rPr>
          <w:b/>
        </w:rPr>
        <w:t>f)</w:t>
      </w:r>
      <w:r w:rsidRPr="00831D1B">
        <w:tab/>
      </w:r>
      <w:r>
        <w:t>Uppgjör miðast við mældan flöt mótaklæðningar</w:t>
      </w:r>
      <w:r w:rsidR="0049396B">
        <w:t>,</w:t>
      </w:r>
      <w:r>
        <w:t xml:space="preserve"> óháð því hvort flötur er sléttur eða rásaður. Op minni en 0,5 m</w:t>
      </w:r>
      <w:r w:rsidRPr="007A12AC">
        <w:rPr>
          <w:vertAlign w:val="superscript"/>
        </w:rPr>
        <w:t>2</w:t>
      </w:r>
      <w:r>
        <w:t xml:space="preserve"> eru ekki dregin frá</w:t>
      </w:r>
      <w:r w:rsidRPr="00077A69">
        <w:t>.</w:t>
      </w:r>
    </w:p>
    <w:p w14:paraId="76F1EF5B" w14:textId="77777777" w:rsidR="007A12AC" w:rsidRPr="007F5C04" w:rsidRDefault="0067752D" w:rsidP="00D42091">
      <w:r>
        <w:tab/>
      </w:r>
      <w:r w:rsidR="007A12AC" w:rsidRPr="007F5C04">
        <w:t>Mælieining:</w:t>
      </w:r>
      <w:r w:rsidR="007A12AC" w:rsidRPr="007F5C04">
        <w:tab/>
        <w:t>m</w:t>
      </w:r>
      <w:r w:rsidR="007A12AC" w:rsidRPr="007A12AC">
        <w:rPr>
          <w:vertAlign w:val="superscript"/>
        </w:rPr>
        <w:t>2</w:t>
      </w:r>
    </w:p>
    <w:p w14:paraId="76F1EF5C" w14:textId="77777777" w:rsidR="007A12AC" w:rsidRPr="002026BC" w:rsidRDefault="007A12AC" w:rsidP="007A12AC">
      <w:pPr>
        <w:pStyle w:val="Kaflafyrirsagnir"/>
      </w:pPr>
      <w:bookmarkStart w:id="9" w:name="_Toc533158808"/>
      <w:r>
        <w:t>84.2</w:t>
      </w:r>
      <w:r w:rsidR="0079261B">
        <w:t>52</w:t>
      </w:r>
      <w:r>
        <w:t xml:space="preserve">  Mót</w:t>
      </w:r>
      <w:r w:rsidR="0079261B">
        <w:t xml:space="preserve"> ramma</w:t>
      </w:r>
      <w:bookmarkEnd w:id="9"/>
    </w:p>
    <w:p w14:paraId="76F1EF5D" w14:textId="77777777" w:rsidR="007A12AC" w:rsidRDefault="007A12AC" w:rsidP="00D42091">
      <w:pPr>
        <w:ind w:left="1134" w:hanging="283"/>
        <w:rPr>
          <w:i/>
          <w:color w:val="4F81BD" w:themeColor="accent1"/>
        </w:rPr>
      </w:pPr>
      <w:r w:rsidRPr="00D42091">
        <w:rPr>
          <w:b/>
        </w:rPr>
        <w:t>a)</w:t>
      </w:r>
      <w:r w:rsidRPr="00D42091">
        <w:rPr>
          <w:b/>
        </w:rPr>
        <w:tab/>
      </w:r>
      <w:r w:rsidR="00F0363D">
        <w:t xml:space="preserve">Um er að ræða </w:t>
      </w:r>
      <w:r w:rsidR="0079261B">
        <w:t xml:space="preserve">allan kostnað, efni, vinnu og flutning efnis vegna móta fyrir ramma </w:t>
      </w:r>
      <w:r w:rsidRPr="00902305">
        <w:rPr>
          <w:i/>
          <w:color w:val="4F81BD" w:themeColor="accent1"/>
        </w:rPr>
        <w:t>[nánari lýsing]</w:t>
      </w:r>
    </w:p>
    <w:p w14:paraId="76F1EF5E" w14:textId="77777777" w:rsidR="007A12AC" w:rsidRDefault="007A12AC" w:rsidP="00D42091">
      <w:pPr>
        <w:pStyle w:val="NoSpacing"/>
        <w:rPr>
          <w:b/>
          <w:bCs/>
          <w:i/>
          <w:iCs/>
          <w:color w:val="4F81BD" w:themeColor="accent1"/>
        </w:rPr>
      </w:pPr>
      <w:r w:rsidRPr="00D42091">
        <w:rPr>
          <w:b/>
        </w:rPr>
        <w:t>c)</w:t>
      </w:r>
      <w:r>
        <w:tab/>
        <w:t xml:space="preserve"> </w:t>
      </w:r>
      <w:r w:rsidRPr="003A50EC">
        <w:rPr>
          <w:i/>
          <w:color w:val="4F81BD" w:themeColor="accent1"/>
        </w:rPr>
        <w:t>[lýsing, tilv. í uppdrætti]</w:t>
      </w:r>
      <w:r>
        <w:rPr>
          <w:i/>
          <w:color w:val="4F81BD" w:themeColor="accent1"/>
        </w:rPr>
        <w:t>.</w:t>
      </w:r>
    </w:p>
    <w:p w14:paraId="76F1EF5F" w14:textId="77777777" w:rsidR="007A12AC" w:rsidRPr="007A12AC" w:rsidRDefault="007A12AC" w:rsidP="00D42091">
      <w:pPr>
        <w:ind w:left="1134" w:hanging="283"/>
      </w:pPr>
      <w:r w:rsidRPr="00D42091">
        <w:rPr>
          <w:b/>
        </w:rPr>
        <w:t>f)</w:t>
      </w:r>
      <w:r w:rsidRPr="00831D1B">
        <w:tab/>
      </w:r>
      <w:r>
        <w:t>Uppgjör miðast við mældan flöt mótaklæðningar</w:t>
      </w:r>
      <w:r w:rsidR="0049396B">
        <w:t>,</w:t>
      </w:r>
      <w:r>
        <w:t xml:space="preserve"> óháð því hvort flötur er sléttur eða rásaður. Op minni en 0,5 m</w:t>
      </w:r>
      <w:r w:rsidRPr="007A12AC">
        <w:rPr>
          <w:vertAlign w:val="superscript"/>
        </w:rPr>
        <w:t>2</w:t>
      </w:r>
      <w:r>
        <w:t xml:space="preserve"> eru ekki dregin frá</w:t>
      </w:r>
      <w:r w:rsidRPr="00077A69">
        <w:t>.</w:t>
      </w:r>
    </w:p>
    <w:p w14:paraId="76F1EF60" w14:textId="77777777" w:rsidR="007A12AC" w:rsidRPr="007F5C04" w:rsidRDefault="0067752D" w:rsidP="00D42091">
      <w:r>
        <w:tab/>
      </w:r>
      <w:r w:rsidR="007A12AC" w:rsidRPr="007F5C04">
        <w:t>Mælieining:</w:t>
      </w:r>
      <w:r w:rsidR="007A12AC" w:rsidRPr="007F5C04">
        <w:tab/>
        <w:t>m</w:t>
      </w:r>
      <w:r w:rsidR="007A12AC" w:rsidRPr="007A12AC">
        <w:rPr>
          <w:vertAlign w:val="superscript"/>
        </w:rPr>
        <w:t>2</w:t>
      </w:r>
    </w:p>
    <w:p w14:paraId="76F1EF61" w14:textId="77777777" w:rsidR="007A12AC" w:rsidRPr="002026BC" w:rsidRDefault="007A12AC" w:rsidP="007A12AC">
      <w:pPr>
        <w:pStyle w:val="Kaflafyrirsagnir"/>
      </w:pPr>
      <w:bookmarkStart w:id="10" w:name="_Toc533158809"/>
      <w:r>
        <w:t>84.2</w:t>
      </w:r>
      <w:r w:rsidR="0079261B">
        <w:t>53</w:t>
      </w:r>
      <w:r>
        <w:t xml:space="preserve">  Mót</w:t>
      </w:r>
      <w:r w:rsidR="0079261B">
        <w:t xml:space="preserve"> bitabrúar</w:t>
      </w:r>
      <w:bookmarkEnd w:id="10"/>
    </w:p>
    <w:p w14:paraId="76F1EF62" w14:textId="77777777" w:rsidR="007A12AC" w:rsidRDefault="007A12AC" w:rsidP="00D42091">
      <w:pPr>
        <w:ind w:left="1134" w:hanging="283"/>
        <w:rPr>
          <w:i/>
          <w:color w:val="4F81BD" w:themeColor="accent1"/>
        </w:rPr>
      </w:pPr>
      <w:r w:rsidRPr="00D42091">
        <w:rPr>
          <w:b/>
        </w:rPr>
        <w:t>a)</w:t>
      </w:r>
      <w:r w:rsidRPr="00831D1B">
        <w:tab/>
      </w:r>
      <w:r w:rsidR="00F0363D">
        <w:t xml:space="preserve">Um er að ræða </w:t>
      </w:r>
      <w:r w:rsidR="0079261B">
        <w:t>allan kostnað, efni, vinnu og flutning efnis vegna móta fyrir bitabrýr</w:t>
      </w:r>
      <w:r w:rsidR="00737E3C">
        <w:t>.</w:t>
      </w:r>
      <w:r>
        <w:t xml:space="preserve"> </w:t>
      </w:r>
      <w:r w:rsidRPr="00902305">
        <w:rPr>
          <w:i/>
          <w:color w:val="4F81BD" w:themeColor="accent1"/>
        </w:rPr>
        <w:t>[nánari lýsing]</w:t>
      </w:r>
    </w:p>
    <w:p w14:paraId="76F1EF63" w14:textId="77777777" w:rsidR="007A12AC" w:rsidRDefault="007A12AC" w:rsidP="00D42091">
      <w:pPr>
        <w:pStyle w:val="NoSpacing"/>
        <w:rPr>
          <w:b/>
          <w:bCs/>
          <w:i/>
          <w:iCs/>
          <w:color w:val="4F81BD" w:themeColor="accent1"/>
        </w:rPr>
      </w:pPr>
      <w:r w:rsidRPr="00D42091">
        <w:rPr>
          <w:b/>
        </w:rPr>
        <w:t>c)</w:t>
      </w:r>
      <w:r>
        <w:tab/>
        <w:t xml:space="preserve"> </w:t>
      </w:r>
      <w:r w:rsidRPr="003A50EC">
        <w:rPr>
          <w:i/>
          <w:color w:val="4F81BD" w:themeColor="accent1"/>
        </w:rPr>
        <w:t>[lýsing, tilv. í uppdrætti]</w:t>
      </w:r>
      <w:r>
        <w:rPr>
          <w:i/>
          <w:color w:val="4F81BD" w:themeColor="accent1"/>
        </w:rPr>
        <w:t>.</w:t>
      </w:r>
    </w:p>
    <w:p w14:paraId="76F1EF64" w14:textId="77777777" w:rsidR="007A12AC" w:rsidRPr="007A12AC" w:rsidRDefault="007A12AC" w:rsidP="00D42091">
      <w:pPr>
        <w:ind w:left="1134" w:hanging="283"/>
      </w:pPr>
      <w:r w:rsidRPr="00D42091">
        <w:rPr>
          <w:b/>
        </w:rPr>
        <w:t>f)</w:t>
      </w:r>
      <w:r w:rsidRPr="00831D1B">
        <w:tab/>
      </w:r>
      <w:r>
        <w:t>Uppgjör miðast við mældan flöt mótaklæðningar</w:t>
      </w:r>
      <w:r w:rsidR="0049396B">
        <w:t>,</w:t>
      </w:r>
      <w:r>
        <w:t xml:space="preserve"> óháð því hvort flötur er sléttur eða rásaður. Op minni en 0,5 m</w:t>
      </w:r>
      <w:r w:rsidRPr="007A12AC">
        <w:rPr>
          <w:vertAlign w:val="superscript"/>
        </w:rPr>
        <w:t>2</w:t>
      </w:r>
      <w:r>
        <w:t xml:space="preserve"> eru ekki dregin frá</w:t>
      </w:r>
      <w:r w:rsidRPr="00077A69">
        <w:t>.</w:t>
      </w:r>
    </w:p>
    <w:p w14:paraId="76F1EF65" w14:textId="77777777" w:rsidR="007A12AC" w:rsidRPr="007F5C04" w:rsidRDefault="0067752D" w:rsidP="00D42091">
      <w:r>
        <w:tab/>
      </w:r>
      <w:r w:rsidR="007A12AC" w:rsidRPr="007F5C04">
        <w:t>Mælieining:</w:t>
      </w:r>
      <w:r w:rsidR="007A12AC" w:rsidRPr="007F5C04">
        <w:tab/>
        <w:t>m</w:t>
      </w:r>
      <w:r w:rsidR="007A12AC" w:rsidRPr="007A12AC">
        <w:rPr>
          <w:vertAlign w:val="superscript"/>
        </w:rPr>
        <w:t>2</w:t>
      </w:r>
    </w:p>
    <w:p w14:paraId="76F1EF66" w14:textId="77777777" w:rsidR="00FA1C95" w:rsidRPr="002026BC" w:rsidRDefault="00FA1C95" w:rsidP="00FA1C95">
      <w:pPr>
        <w:pStyle w:val="Kaflafyrirsagnir"/>
      </w:pPr>
      <w:bookmarkStart w:id="11" w:name="_Toc533158810"/>
      <w:r>
        <w:t>84.257  Mót 3,2 m bogaræsis</w:t>
      </w:r>
      <w:bookmarkEnd w:id="11"/>
    </w:p>
    <w:p w14:paraId="76F1EF67" w14:textId="77777777" w:rsidR="00FA1C95" w:rsidRDefault="00FA1C95" w:rsidP="00D42091">
      <w:pPr>
        <w:ind w:left="1134" w:hanging="283"/>
        <w:rPr>
          <w:i/>
          <w:color w:val="4F81BD" w:themeColor="accent1"/>
        </w:rPr>
      </w:pPr>
      <w:r w:rsidRPr="00D42091">
        <w:rPr>
          <w:b/>
        </w:rPr>
        <w:t>a)</w:t>
      </w:r>
      <w:r w:rsidRPr="00D42091">
        <w:rPr>
          <w:b/>
        </w:rPr>
        <w:tab/>
      </w:r>
      <w:r w:rsidR="00F0363D">
        <w:t xml:space="preserve">Um er að ræða </w:t>
      </w:r>
      <w:r>
        <w:t>allan kostnað, efni, vinnu og flutning efnis vegna móta fyrir 3,2 m bogaræsi</w:t>
      </w:r>
      <w:r w:rsidR="0049396B">
        <w:t>.</w:t>
      </w:r>
      <w:r>
        <w:t xml:space="preserve"> </w:t>
      </w:r>
      <w:r w:rsidRPr="00902305">
        <w:rPr>
          <w:i/>
          <w:color w:val="4F81BD" w:themeColor="accent1"/>
        </w:rPr>
        <w:t>[nánari lýsing]</w:t>
      </w:r>
    </w:p>
    <w:p w14:paraId="76F1EF68" w14:textId="77777777" w:rsidR="00FA1C95" w:rsidRDefault="00FA1C95" w:rsidP="00D42091">
      <w:pPr>
        <w:pStyle w:val="NoSpacing"/>
        <w:rPr>
          <w:b/>
          <w:bCs/>
          <w:i/>
          <w:iCs/>
          <w:color w:val="4F81BD" w:themeColor="accent1"/>
        </w:rPr>
      </w:pPr>
      <w:r w:rsidRPr="00D42091">
        <w:rPr>
          <w:b/>
        </w:rPr>
        <w:t>c)</w:t>
      </w:r>
      <w:r>
        <w:tab/>
        <w:t xml:space="preserve"> </w:t>
      </w:r>
      <w:r w:rsidRPr="003A50EC">
        <w:rPr>
          <w:i/>
          <w:color w:val="4F81BD" w:themeColor="accent1"/>
        </w:rPr>
        <w:t>[lýsing, tilv. í uppdrætti]</w:t>
      </w:r>
      <w:r>
        <w:rPr>
          <w:i/>
          <w:color w:val="4F81BD" w:themeColor="accent1"/>
        </w:rPr>
        <w:t>.</w:t>
      </w:r>
    </w:p>
    <w:p w14:paraId="76F1EF69" w14:textId="77777777" w:rsidR="00FA1C95" w:rsidRPr="007A12AC" w:rsidRDefault="00FA1C95" w:rsidP="00D42091">
      <w:pPr>
        <w:ind w:left="1134" w:hanging="283"/>
      </w:pPr>
      <w:r w:rsidRPr="00D42091">
        <w:rPr>
          <w:b/>
        </w:rPr>
        <w:t>f)</w:t>
      </w:r>
      <w:r w:rsidRPr="00831D1B">
        <w:tab/>
      </w:r>
      <w:r>
        <w:t>Uppgjör miðast við mældan flöt mótaklæðningar</w:t>
      </w:r>
      <w:r w:rsidR="0049396B">
        <w:t>,</w:t>
      </w:r>
      <w:r>
        <w:t xml:space="preserve"> óháð því hvort flötur er sléttur eða rásaður. Op minni en 0,5 m</w:t>
      </w:r>
      <w:r w:rsidRPr="007A12AC">
        <w:rPr>
          <w:vertAlign w:val="superscript"/>
        </w:rPr>
        <w:t>2</w:t>
      </w:r>
      <w:r>
        <w:t xml:space="preserve"> eru ekki dregin frá</w:t>
      </w:r>
      <w:r w:rsidRPr="00077A69">
        <w:t>.</w:t>
      </w:r>
    </w:p>
    <w:p w14:paraId="76F1EF6A" w14:textId="77777777" w:rsidR="00FA1C95" w:rsidRPr="007F5C04" w:rsidRDefault="0067752D" w:rsidP="00D42091">
      <w:r>
        <w:tab/>
      </w:r>
      <w:r w:rsidR="00FA1C95" w:rsidRPr="007F5C04">
        <w:t>Mælieining:</w:t>
      </w:r>
      <w:r w:rsidR="00FA1C95" w:rsidRPr="007F5C04">
        <w:tab/>
        <w:t>m</w:t>
      </w:r>
      <w:r w:rsidR="00FA1C95" w:rsidRPr="007A12AC">
        <w:rPr>
          <w:vertAlign w:val="superscript"/>
        </w:rPr>
        <w:t>2</w:t>
      </w:r>
    </w:p>
    <w:p w14:paraId="76F1EF6B" w14:textId="77777777" w:rsidR="00FA1C95" w:rsidRPr="002026BC" w:rsidRDefault="00FA1C95" w:rsidP="00FA1C95">
      <w:pPr>
        <w:pStyle w:val="Kaflafyrirsagnir"/>
      </w:pPr>
      <w:bookmarkStart w:id="12" w:name="_Toc533158811"/>
      <w:r>
        <w:t>84.258  Mót 5,25 m bogaræsis</w:t>
      </w:r>
      <w:bookmarkEnd w:id="12"/>
    </w:p>
    <w:p w14:paraId="76F1EF6C" w14:textId="77777777" w:rsidR="00FA1C95" w:rsidRDefault="00FA1C95" w:rsidP="00D42091">
      <w:pPr>
        <w:ind w:left="1134" w:hanging="283"/>
        <w:rPr>
          <w:i/>
          <w:color w:val="4F81BD" w:themeColor="accent1"/>
        </w:rPr>
      </w:pPr>
      <w:r w:rsidRPr="00D42091">
        <w:rPr>
          <w:b/>
        </w:rPr>
        <w:t>a)</w:t>
      </w:r>
      <w:r w:rsidRPr="00831D1B">
        <w:tab/>
      </w:r>
      <w:r w:rsidR="00F0363D">
        <w:t xml:space="preserve">Um er að ræða </w:t>
      </w:r>
      <w:r>
        <w:t>allan kostnað, efni, vinnu og flutning efnis vegna móta fyrir 5,25 m bogaræsi</w:t>
      </w:r>
      <w:r w:rsidR="0049396B">
        <w:t>.</w:t>
      </w:r>
      <w:r>
        <w:t xml:space="preserve"> </w:t>
      </w:r>
      <w:r w:rsidRPr="00902305">
        <w:rPr>
          <w:i/>
          <w:color w:val="4F81BD" w:themeColor="accent1"/>
        </w:rPr>
        <w:t>[nánari lýsing]</w:t>
      </w:r>
      <w:r>
        <w:rPr>
          <w:i/>
          <w:color w:val="4F81BD" w:themeColor="accent1"/>
        </w:rPr>
        <w:t xml:space="preserve"> </w:t>
      </w:r>
    </w:p>
    <w:p w14:paraId="76F1EF6D" w14:textId="77777777" w:rsidR="00FA1C95" w:rsidRDefault="00FA1C95" w:rsidP="00D42091">
      <w:pPr>
        <w:pStyle w:val="NoSpacing"/>
        <w:rPr>
          <w:b/>
          <w:bCs/>
          <w:i/>
          <w:iCs/>
          <w:color w:val="4F81BD" w:themeColor="accent1"/>
        </w:rPr>
      </w:pPr>
      <w:r w:rsidRPr="00D42091">
        <w:rPr>
          <w:b/>
        </w:rPr>
        <w:t>c)</w:t>
      </w:r>
      <w:r>
        <w:tab/>
      </w:r>
      <w:r w:rsidRPr="003A50EC">
        <w:rPr>
          <w:i/>
          <w:color w:val="4F81BD" w:themeColor="accent1"/>
        </w:rPr>
        <w:t>[lýsing, tilv. í uppdrætti]</w:t>
      </w:r>
      <w:r>
        <w:rPr>
          <w:i/>
          <w:color w:val="4F81BD" w:themeColor="accent1"/>
        </w:rPr>
        <w:t>.</w:t>
      </w:r>
    </w:p>
    <w:p w14:paraId="76F1EF6E" w14:textId="77777777" w:rsidR="00FA1C95" w:rsidRPr="007A12AC" w:rsidRDefault="00FA1C95" w:rsidP="00D42091">
      <w:pPr>
        <w:ind w:left="1134" w:hanging="283"/>
      </w:pPr>
      <w:r w:rsidRPr="00D42091">
        <w:rPr>
          <w:b/>
        </w:rPr>
        <w:t>f)</w:t>
      </w:r>
      <w:r w:rsidRPr="00831D1B">
        <w:tab/>
      </w:r>
      <w:r>
        <w:t>Uppgjör miðast við mældan flöt mótaklæðningar</w:t>
      </w:r>
      <w:r w:rsidR="0049396B">
        <w:t>,</w:t>
      </w:r>
      <w:r>
        <w:t xml:space="preserve"> óháð því hvort flötur er sléttur eða rásaður. Op minni en 0,5 m</w:t>
      </w:r>
      <w:r w:rsidRPr="007A12AC">
        <w:rPr>
          <w:vertAlign w:val="superscript"/>
        </w:rPr>
        <w:t>2</w:t>
      </w:r>
      <w:r>
        <w:t xml:space="preserve"> eru ekki dregin frá</w:t>
      </w:r>
      <w:r w:rsidRPr="00077A69">
        <w:t>.</w:t>
      </w:r>
    </w:p>
    <w:p w14:paraId="76F1EF6F" w14:textId="77777777" w:rsidR="00FA1C95" w:rsidRPr="007F5C04" w:rsidRDefault="0067752D" w:rsidP="00D42091">
      <w:r>
        <w:tab/>
      </w:r>
      <w:r w:rsidR="00FA1C95" w:rsidRPr="007F5C04">
        <w:t>Mælieining:</w:t>
      </w:r>
      <w:r w:rsidR="00FA1C95" w:rsidRPr="007F5C04">
        <w:tab/>
        <w:t>m</w:t>
      </w:r>
      <w:r w:rsidR="00FA1C95" w:rsidRPr="007A12AC">
        <w:rPr>
          <w:vertAlign w:val="superscript"/>
        </w:rPr>
        <w:t>2</w:t>
      </w:r>
    </w:p>
    <w:p w14:paraId="76F1EF70" w14:textId="77777777" w:rsidR="00FA1C95" w:rsidRPr="002026BC" w:rsidRDefault="00FA1C95" w:rsidP="00FA1C95">
      <w:pPr>
        <w:pStyle w:val="Kaflafyrirsagnir"/>
      </w:pPr>
      <w:bookmarkStart w:id="13" w:name="_Toc533158812"/>
      <w:r>
        <w:lastRenderedPageBreak/>
        <w:t>84.259  Mót 6,7 m bogaræsis</w:t>
      </w:r>
      <w:bookmarkEnd w:id="13"/>
    </w:p>
    <w:p w14:paraId="76F1EF71" w14:textId="77777777" w:rsidR="00FA1C95" w:rsidRDefault="00FA1C95" w:rsidP="00D42091">
      <w:pPr>
        <w:ind w:left="1134" w:hanging="283"/>
        <w:rPr>
          <w:i/>
          <w:color w:val="4F81BD" w:themeColor="accent1"/>
        </w:rPr>
      </w:pPr>
      <w:r w:rsidRPr="00D42091">
        <w:rPr>
          <w:b/>
        </w:rPr>
        <w:t>a)</w:t>
      </w:r>
      <w:r w:rsidRPr="00831D1B">
        <w:tab/>
      </w:r>
      <w:r w:rsidR="00F0363D">
        <w:t xml:space="preserve">Um er að ræða </w:t>
      </w:r>
      <w:r>
        <w:t>allan kostnað efni, vinnu og flutning efnis, vinnu og kostnað vegna móta fyrir 6,7 m bogaræsi</w:t>
      </w:r>
      <w:r w:rsidR="0049396B">
        <w:t>.</w:t>
      </w:r>
      <w:r w:rsidR="00F0363D">
        <w:t xml:space="preserve"> </w:t>
      </w:r>
      <w:r w:rsidRPr="00902305">
        <w:rPr>
          <w:i/>
          <w:color w:val="4F81BD" w:themeColor="accent1"/>
        </w:rPr>
        <w:t>[nánari lýsing]</w:t>
      </w:r>
    </w:p>
    <w:p w14:paraId="76F1EF72" w14:textId="77777777" w:rsidR="00FA1C95" w:rsidRDefault="00FA1C95" w:rsidP="00D42091">
      <w:pPr>
        <w:pStyle w:val="NoSpacing"/>
        <w:rPr>
          <w:b/>
          <w:bCs/>
          <w:i/>
          <w:iCs/>
          <w:color w:val="4F81BD" w:themeColor="accent1"/>
        </w:rPr>
      </w:pPr>
      <w:r w:rsidRPr="00D42091">
        <w:rPr>
          <w:b/>
        </w:rPr>
        <w:t>c)</w:t>
      </w:r>
      <w:r w:rsidRPr="00D42091">
        <w:rPr>
          <w:b/>
        </w:rPr>
        <w:tab/>
      </w:r>
      <w:r>
        <w:t xml:space="preserve"> </w:t>
      </w:r>
      <w:r w:rsidRPr="003A50EC">
        <w:rPr>
          <w:i/>
          <w:color w:val="4F81BD" w:themeColor="accent1"/>
        </w:rPr>
        <w:t>[lýsing, tilv. í uppdrætti]</w:t>
      </w:r>
      <w:r>
        <w:rPr>
          <w:i/>
          <w:color w:val="4F81BD" w:themeColor="accent1"/>
        </w:rPr>
        <w:t>.</w:t>
      </w:r>
    </w:p>
    <w:p w14:paraId="76F1EF73" w14:textId="77777777" w:rsidR="00FA1C95" w:rsidRPr="007A12AC" w:rsidRDefault="00FA1C95" w:rsidP="00D42091">
      <w:pPr>
        <w:ind w:left="1134" w:hanging="283"/>
      </w:pPr>
      <w:r w:rsidRPr="00D42091">
        <w:rPr>
          <w:b/>
        </w:rPr>
        <w:t>f)</w:t>
      </w:r>
      <w:r w:rsidRPr="00D42091">
        <w:rPr>
          <w:b/>
        </w:rPr>
        <w:tab/>
      </w:r>
      <w:r>
        <w:t>Uppgjör miðast við mældan flöt mótaklæðningar</w:t>
      </w:r>
      <w:r w:rsidR="0049396B">
        <w:t>,</w:t>
      </w:r>
      <w:r>
        <w:t xml:space="preserve"> óháð því hvort flötur er sléttur eða rásaður. Op minni en 0,5 m</w:t>
      </w:r>
      <w:r w:rsidRPr="007A12AC">
        <w:rPr>
          <w:vertAlign w:val="superscript"/>
        </w:rPr>
        <w:t>2</w:t>
      </w:r>
      <w:r>
        <w:t xml:space="preserve"> eru ekki dregin frá</w:t>
      </w:r>
      <w:r w:rsidRPr="00077A69">
        <w:t>.</w:t>
      </w:r>
    </w:p>
    <w:p w14:paraId="76F1EF74" w14:textId="77777777" w:rsidR="00FA1C95" w:rsidRPr="007F5C04" w:rsidRDefault="0067752D" w:rsidP="00D42091">
      <w:r>
        <w:tab/>
      </w:r>
      <w:r w:rsidR="00FA1C95" w:rsidRPr="007F5C04">
        <w:t>Mælieining:</w:t>
      </w:r>
      <w:r w:rsidR="00FA1C95" w:rsidRPr="007F5C04">
        <w:tab/>
        <w:t>m</w:t>
      </w:r>
      <w:r w:rsidR="00FA1C95" w:rsidRPr="007A12AC">
        <w:rPr>
          <w:vertAlign w:val="superscript"/>
        </w:rPr>
        <w:t>2</w:t>
      </w:r>
    </w:p>
    <w:p w14:paraId="76F1EF75" w14:textId="77777777" w:rsidR="00D3051C" w:rsidRPr="002026BC" w:rsidRDefault="00D3051C" w:rsidP="00D3051C">
      <w:pPr>
        <w:pStyle w:val="Kaflafyrirsagnir"/>
      </w:pPr>
      <w:bookmarkStart w:id="14" w:name="_Toc533158813"/>
      <w:r>
        <w:t>84.26  Mót annað</w:t>
      </w:r>
      <w:bookmarkEnd w:id="14"/>
    </w:p>
    <w:p w14:paraId="76F1EF76" w14:textId="77777777" w:rsidR="00D3051C" w:rsidRDefault="00D3051C" w:rsidP="00D42091">
      <w:pPr>
        <w:ind w:left="1134" w:hanging="283"/>
        <w:rPr>
          <w:i/>
          <w:color w:val="4F81BD" w:themeColor="accent1"/>
        </w:rPr>
      </w:pPr>
      <w:r w:rsidRPr="00D42091">
        <w:rPr>
          <w:b/>
        </w:rPr>
        <w:t>a)</w:t>
      </w:r>
      <w:r w:rsidRPr="00831D1B">
        <w:tab/>
      </w:r>
      <w:r w:rsidR="00F0363D">
        <w:t xml:space="preserve">Um er að ræða </w:t>
      </w:r>
      <w:r>
        <w:t xml:space="preserve">allan kostnað, efni, vinnu og flutning efnis við mót annarra verkþátta en taldir eru upp hér að framan. </w:t>
      </w:r>
      <w:r w:rsidRPr="00902305">
        <w:rPr>
          <w:i/>
          <w:color w:val="4F81BD" w:themeColor="accent1"/>
        </w:rPr>
        <w:t>[nánari lýsing]</w:t>
      </w:r>
    </w:p>
    <w:p w14:paraId="76F1EF77" w14:textId="77777777" w:rsidR="00D3051C" w:rsidRDefault="00D3051C" w:rsidP="00D42091">
      <w:pPr>
        <w:pStyle w:val="NoSpacing"/>
        <w:rPr>
          <w:b/>
          <w:bCs/>
          <w:i/>
          <w:iCs/>
          <w:color w:val="4F81BD" w:themeColor="accent1"/>
        </w:rPr>
      </w:pPr>
      <w:r w:rsidRPr="00D42091">
        <w:rPr>
          <w:b/>
        </w:rPr>
        <w:t>c)</w:t>
      </w:r>
      <w:r>
        <w:tab/>
        <w:t xml:space="preserve"> </w:t>
      </w:r>
      <w:r w:rsidRPr="003A50EC">
        <w:rPr>
          <w:i/>
          <w:color w:val="4F81BD" w:themeColor="accent1"/>
        </w:rPr>
        <w:t>[lýsing, tilv. í uppdrætti]</w:t>
      </w:r>
      <w:r>
        <w:rPr>
          <w:i/>
          <w:color w:val="4F81BD" w:themeColor="accent1"/>
        </w:rPr>
        <w:t>.</w:t>
      </w:r>
    </w:p>
    <w:p w14:paraId="76F1EF78" w14:textId="77777777" w:rsidR="00D3051C" w:rsidRPr="007A12AC" w:rsidRDefault="00D3051C" w:rsidP="00D42091">
      <w:r w:rsidRPr="00D42091">
        <w:rPr>
          <w:b/>
        </w:rPr>
        <w:t>f)</w:t>
      </w:r>
      <w:r w:rsidRPr="00831D1B">
        <w:tab/>
      </w:r>
      <w:r>
        <w:t>Uppgjör miðast við ósundurliðaða upphæð</w:t>
      </w:r>
      <w:r w:rsidRPr="00077A69">
        <w:t>.</w:t>
      </w:r>
    </w:p>
    <w:p w14:paraId="76F1EF79" w14:textId="77777777" w:rsidR="00D3051C" w:rsidRPr="007F5C04" w:rsidRDefault="0067752D" w:rsidP="00D42091">
      <w:r>
        <w:tab/>
      </w:r>
      <w:r w:rsidR="00D3051C" w:rsidRPr="007F5C04">
        <w:t>Mælieining:</w:t>
      </w:r>
      <w:r w:rsidR="00D3051C" w:rsidRPr="007F5C04">
        <w:tab/>
      </w:r>
      <w:r w:rsidR="00D3051C">
        <w:t>HT</w:t>
      </w:r>
    </w:p>
    <w:p w14:paraId="76F1EF7A" w14:textId="77777777" w:rsidR="00240582" w:rsidRDefault="00240582" w:rsidP="00240582">
      <w:pPr>
        <w:pStyle w:val="abcflokkar"/>
        <w:tabs>
          <w:tab w:val="left" w:pos="851"/>
          <w:tab w:val="left" w:pos="6622"/>
        </w:tabs>
        <w:rPr>
          <w:color w:val="auto"/>
          <w:sz w:val="24"/>
          <w:szCs w:val="24"/>
        </w:rPr>
      </w:pPr>
    </w:p>
    <w:sectPr w:rsidR="002405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FE5D0" w14:textId="77777777" w:rsidR="00AA7469" w:rsidRDefault="00AA7469" w:rsidP="005B28DC">
      <w:r>
        <w:separator/>
      </w:r>
    </w:p>
  </w:endnote>
  <w:endnote w:type="continuationSeparator" w:id="0">
    <w:p w14:paraId="7500D3B5" w14:textId="77777777" w:rsidR="00AA7469" w:rsidRDefault="00AA7469" w:rsidP="005B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83E66" w14:textId="77777777" w:rsidR="00E34EF8" w:rsidRDefault="00E34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027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F1EF80" w14:textId="77777777" w:rsidR="008B0DB0" w:rsidRDefault="008B0D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47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F1EF81" w14:textId="77777777" w:rsidR="005B28DC" w:rsidRDefault="005B28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657FF" w14:textId="77777777" w:rsidR="00E34EF8" w:rsidRDefault="00E34E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95E58" w14:textId="77777777" w:rsidR="00AA7469" w:rsidRDefault="00AA7469" w:rsidP="005B28DC">
      <w:r>
        <w:separator/>
      </w:r>
    </w:p>
  </w:footnote>
  <w:footnote w:type="continuationSeparator" w:id="0">
    <w:p w14:paraId="668990AB" w14:textId="77777777" w:rsidR="00AA7469" w:rsidRDefault="00AA7469" w:rsidP="005B2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C0757" w14:textId="77777777" w:rsidR="00E34EF8" w:rsidRDefault="00E34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1EF7F" w14:textId="77777777" w:rsidR="008B0DB0" w:rsidRDefault="008B0DB0">
    <w:pPr>
      <w:pStyle w:val="Header"/>
    </w:pPr>
    <w:r>
      <w:t>Vegagerðin</w:t>
    </w:r>
    <w:r>
      <w:ptab w:relativeTo="margin" w:alignment="center" w:leader="none"/>
    </w:r>
    <w:r>
      <w:t>Verklýsing - sniðmát</w:t>
    </w:r>
    <w:r>
      <w:ptab w:relativeTo="margin" w:alignment="right" w:leader="none"/>
    </w:r>
    <w:r w:rsidR="002926BC">
      <w:t>2</w:t>
    </w:r>
    <w:r w:rsidR="008E4764">
      <w:t>1</w:t>
    </w:r>
    <w:r w:rsidR="002926BC">
      <w:t>.</w:t>
    </w:r>
    <w:r w:rsidR="008E4764">
      <w:t>03.2019</w:t>
    </w:r>
  </w:p>
  <w:p w14:paraId="3575F7BD" w14:textId="695906A5" w:rsidR="00E34EF8" w:rsidRDefault="00E34EF8" w:rsidP="00E34EF8">
    <w:pPr>
      <w:pStyle w:val="Header"/>
      <w:jc w:val="center"/>
    </w:pPr>
    <w:r>
      <w:t>SNI-3401</w:t>
    </w:r>
    <w:r>
      <w:t>, 84.2</w:t>
    </w:r>
  </w:p>
  <w:p w14:paraId="214FD9AB" w14:textId="77777777" w:rsidR="00E34EF8" w:rsidRDefault="00E34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11D4C" w14:textId="77777777" w:rsidR="00E34EF8" w:rsidRDefault="00E34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E4B94"/>
    <w:multiLevelType w:val="hybridMultilevel"/>
    <w:tmpl w:val="1E6C6E7C"/>
    <w:lvl w:ilvl="0" w:tplc="040F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57232"/>
    <w:multiLevelType w:val="hybridMultilevel"/>
    <w:tmpl w:val="7C66EB0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F0019">
      <w:start w:val="1"/>
      <w:numFmt w:val="lowerLetter"/>
      <w:lvlText w:val="%2."/>
      <w:lvlJc w:val="left"/>
      <w:pPr>
        <w:ind w:left="2160" w:hanging="360"/>
      </w:pPr>
    </w:lvl>
    <w:lvl w:ilvl="2" w:tplc="040F001B" w:tentative="1">
      <w:start w:val="1"/>
      <w:numFmt w:val="lowerRoman"/>
      <w:lvlText w:val="%3."/>
      <w:lvlJc w:val="right"/>
      <w:pPr>
        <w:ind w:left="2880" w:hanging="180"/>
      </w:pPr>
    </w:lvl>
    <w:lvl w:ilvl="3" w:tplc="040F000F" w:tentative="1">
      <w:start w:val="1"/>
      <w:numFmt w:val="decimal"/>
      <w:lvlText w:val="%4."/>
      <w:lvlJc w:val="left"/>
      <w:pPr>
        <w:ind w:left="3600" w:hanging="360"/>
      </w:pPr>
    </w:lvl>
    <w:lvl w:ilvl="4" w:tplc="040F0019" w:tentative="1">
      <w:start w:val="1"/>
      <w:numFmt w:val="lowerLetter"/>
      <w:lvlText w:val="%5."/>
      <w:lvlJc w:val="left"/>
      <w:pPr>
        <w:ind w:left="4320" w:hanging="360"/>
      </w:pPr>
    </w:lvl>
    <w:lvl w:ilvl="5" w:tplc="040F001B" w:tentative="1">
      <w:start w:val="1"/>
      <w:numFmt w:val="lowerRoman"/>
      <w:lvlText w:val="%6."/>
      <w:lvlJc w:val="right"/>
      <w:pPr>
        <w:ind w:left="5040" w:hanging="180"/>
      </w:pPr>
    </w:lvl>
    <w:lvl w:ilvl="6" w:tplc="040F000F" w:tentative="1">
      <w:start w:val="1"/>
      <w:numFmt w:val="decimal"/>
      <w:lvlText w:val="%7."/>
      <w:lvlJc w:val="left"/>
      <w:pPr>
        <w:ind w:left="5760" w:hanging="360"/>
      </w:pPr>
    </w:lvl>
    <w:lvl w:ilvl="7" w:tplc="040F0019" w:tentative="1">
      <w:start w:val="1"/>
      <w:numFmt w:val="lowerLetter"/>
      <w:lvlText w:val="%8."/>
      <w:lvlJc w:val="left"/>
      <w:pPr>
        <w:ind w:left="6480" w:hanging="360"/>
      </w:pPr>
    </w:lvl>
    <w:lvl w:ilvl="8" w:tplc="040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A15029C"/>
    <w:multiLevelType w:val="hybridMultilevel"/>
    <w:tmpl w:val="67721292"/>
    <w:lvl w:ilvl="0" w:tplc="040F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334298">
    <w:abstractNumId w:val="1"/>
  </w:num>
  <w:num w:numId="2" w16cid:durableId="1814371703">
    <w:abstractNumId w:val="0"/>
  </w:num>
  <w:num w:numId="3" w16cid:durableId="995644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EA"/>
    <w:rsid w:val="000161C2"/>
    <w:rsid w:val="00022237"/>
    <w:rsid w:val="00022870"/>
    <w:rsid w:val="00031111"/>
    <w:rsid w:val="00036545"/>
    <w:rsid w:val="00046D0F"/>
    <w:rsid w:val="00057F6D"/>
    <w:rsid w:val="0007043D"/>
    <w:rsid w:val="00077A69"/>
    <w:rsid w:val="000A004C"/>
    <w:rsid w:val="000B40B1"/>
    <w:rsid w:val="000B7FAC"/>
    <w:rsid w:val="000C3F14"/>
    <w:rsid w:val="000F158D"/>
    <w:rsid w:val="001145FB"/>
    <w:rsid w:val="00126B40"/>
    <w:rsid w:val="00126F32"/>
    <w:rsid w:val="00135457"/>
    <w:rsid w:val="00152043"/>
    <w:rsid w:val="001664A5"/>
    <w:rsid w:val="001668D2"/>
    <w:rsid w:val="001714CA"/>
    <w:rsid w:val="00173F0B"/>
    <w:rsid w:val="0019062D"/>
    <w:rsid w:val="001917F8"/>
    <w:rsid w:val="001926DE"/>
    <w:rsid w:val="001C2A54"/>
    <w:rsid w:val="001F2BF1"/>
    <w:rsid w:val="00201B62"/>
    <w:rsid w:val="002026BC"/>
    <w:rsid w:val="00215524"/>
    <w:rsid w:val="002331FB"/>
    <w:rsid w:val="00235848"/>
    <w:rsid w:val="00240582"/>
    <w:rsid w:val="00245F06"/>
    <w:rsid w:val="0025499D"/>
    <w:rsid w:val="0026377F"/>
    <w:rsid w:val="0026403E"/>
    <w:rsid w:val="002715CB"/>
    <w:rsid w:val="00271A12"/>
    <w:rsid w:val="00271C3E"/>
    <w:rsid w:val="002926BC"/>
    <w:rsid w:val="002E0CF7"/>
    <w:rsid w:val="002E3A9A"/>
    <w:rsid w:val="002E76AA"/>
    <w:rsid w:val="002F0A56"/>
    <w:rsid w:val="003260A9"/>
    <w:rsid w:val="0035071B"/>
    <w:rsid w:val="0035498C"/>
    <w:rsid w:val="00387841"/>
    <w:rsid w:val="00387BC7"/>
    <w:rsid w:val="00393D1A"/>
    <w:rsid w:val="003A50EC"/>
    <w:rsid w:val="003C15D1"/>
    <w:rsid w:val="003C38BF"/>
    <w:rsid w:val="003C60F3"/>
    <w:rsid w:val="003D375F"/>
    <w:rsid w:val="003D3F3A"/>
    <w:rsid w:val="003E2A79"/>
    <w:rsid w:val="003F28F8"/>
    <w:rsid w:val="003F7950"/>
    <w:rsid w:val="004120D7"/>
    <w:rsid w:val="00420A85"/>
    <w:rsid w:val="00431C33"/>
    <w:rsid w:val="004326BC"/>
    <w:rsid w:val="0043568B"/>
    <w:rsid w:val="00454C6A"/>
    <w:rsid w:val="0046145C"/>
    <w:rsid w:val="004665E4"/>
    <w:rsid w:val="00472DA6"/>
    <w:rsid w:val="0049396B"/>
    <w:rsid w:val="004A256B"/>
    <w:rsid w:val="004A3BAD"/>
    <w:rsid w:val="004B3990"/>
    <w:rsid w:val="004D70EE"/>
    <w:rsid w:val="004F2C0B"/>
    <w:rsid w:val="004F7D40"/>
    <w:rsid w:val="005031C4"/>
    <w:rsid w:val="00512862"/>
    <w:rsid w:val="00533D3B"/>
    <w:rsid w:val="005A0E00"/>
    <w:rsid w:val="005A1DE8"/>
    <w:rsid w:val="005B28DC"/>
    <w:rsid w:val="005C03BC"/>
    <w:rsid w:val="005D14EF"/>
    <w:rsid w:val="005D5DED"/>
    <w:rsid w:val="005F4B5C"/>
    <w:rsid w:val="005F6F3C"/>
    <w:rsid w:val="006017A5"/>
    <w:rsid w:val="0060456D"/>
    <w:rsid w:val="00611EAB"/>
    <w:rsid w:val="006168E2"/>
    <w:rsid w:val="0066496B"/>
    <w:rsid w:val="006736A3"/>
    <w:rsid w:val="0067752D"/>
    <w:rsid w:val="006A5154"/>
    <w:rsid w:val="006C2624"/>
    <w:rsid w:val="006D01F5"/>
    <w:rsid w:val="006E4BE0"/>
    <w:rsid w:val="006F1B34"/>
    <w:rsid w:val="00700039"/>
    <w:rsid w:val="00707CF6"/>
    <w:rsid w:val="00711E74"/>
    <w:rsid w:val="00716697"/>
    <w:rsid w:val="0072357B"/>
    <w:rsid w:val="00737E3C"/>
    <w:rsid w:val="00741FA5"/>
    <w:rsid w:val="007602E0"/>
    <w:rsid w:val="0079261B"/>
    <w:rsid w:val="00794718"/>
    <w:rsid w:val="007A12AC"/>
    <w:rsid w:val="007A1B0C"/>
    <w:rsid w:val="007B562E"/>
    <w:rsid w:val="007C3590"/>
    <w:rsid w:val="007D174A"/>
    <w:rsid w:val="007F04C2"/>
    <w:rsid w:val="007F5C04"/>
    <w:rsid w:val="00810A03"/>
    <w:rsid w:val="008207EA"/>
    <w:rsid w:val="00831D1B"/>
    <w:rsid w:val="00835C18"/>
    <w:rsid w:val="00840C24"/>
    <w:rsid w:val="008507E2"/>
    <w:rsid w:val="0087232E"/>
    <w:rsid w:val="00874F2F"/>
    <w:rsid w:val="00875247"/>
    <w:rsid w:val="00877AC8"/>
    <w:rsid w:val="008959AA"/>
    <w:rsid w:val="00897BD8"/>
    <w:rsid w:val="008B0DB0"/>
    <w:rsid w:val="008B61F2"/>
    <w:rsid w:val="008B75CA"/>
    <w:rsid w:val="008C4212"/>
    <w:rsid w:val="008E4764"/>
    <w:rsid w:val="008E766B"/>
    <w:rsid w:val="008F414A"/>
    <w:rsid w:val="00957B9A"/>
    <w:rsid w:val="00957BC2"/>
    <w:rsid w:val="00960925"/>
    <w:rsid w:val="009645D8"/>
    <w:rsid w:val="00982B8F"/>
    <w:rsid w:val="00983E55"/>
    <w:rsid w:val="009C6016"/>
    <w:rsid w:val="009D0FBF"/>
    <w:rsid w:val="009D5B28"/>
    <w:rsid w:val="00A1683D"/>
    <w:rsid w:val="00A16B49"/>
    <w:rsid w:val="00A31A6B"/>
    <w:rsid w:val="00A35456"/>
    <w:rsid w:val="00A44494"/>
    <w:rsid w:val="00A60521"/>
    <w:rsid w:val="00A756BE"/>
    <w:rsid w:val="00A81C00"/>
    <w:rsid w:val="00A849B9"/>
    <w:rsid w:val="00A93D05"/>
    <w:rsid w:val="00AA7469"/>
    <w:rsid w:val="00AB7A51"/>
    <w:rsid w:val="00AC1591"/>
    <w:rsid w:val="00AE3F28"/>
    <w:rsid w:val="00AF17A5"/>
    <w:rsid w:val="00B0275D"/>
    <w:rsid w:val="00B12621"/>
    <w:rsid w:val="00B151FD"/>
    <w:rsid w:val="00B17689"/>
    <w:rsid w:val="00B200D5"/>
    <w:rsid w:val="00B31FC4"/>
    <w:rsid w:val="00B511A7"/>
    <w:rsid w:val="00B7105D"/>
    <w:rsid w:val="00B85A68"/>
    <w:rsid w:val="00B97DF6"/>
    <w:rsid w:val="00BE1F07"/>
    <w:rsid w:val="00C1369C"/>
    <w:rsid w:val="00C15499"/>
    <w:rsid w:val="00C26B23"/>
    <w:rsid w:val="00C30E00"/>
    <w:rsid w:val="00C30E6D"/>
    <w:rsid w:val="00C51C4B"/>
    <w:rsid w:val="00C54BDB"/>
    <w:rsid w:val="00C73C64"/>
    <w:rsid w:val="00C82289"/>
    <w:rsid w:val="00C91C69"/>
    <w:rsid w:val="00CA6C24"/>
    <w:rsid w:val="00CA7E5B"/>
    <w:rsid w:val="00CC5B7A"/>
    <w:rsid w:val="00CD656E"/>
    <w:rsid w:val="00CD7B2C"/>
    <w:rsid w:val="00CE2E5D"/>
    <w:rsid w:val="00CE5793"/>
    <w:rsid w:val="00D05DC8"/>
    <w:rsid w:val="00D27597"/>
    <w:rsid w:val="00D3051C"/>
    <w:rsid w:val="00D42091"/>
    <w:rsid w:val="00D43DCA"/>
    <w:rsid w:val="00D56934"/>
    <w:rsid w:val="00D64CDA"/>
    <w:rsid w:val="00D65A19"/>
    <w:rsid w:val="00D66C43"/>
    <w:rsid w:val="00D70309"/>
    <w:rsid w:val="00D70E32"/>
    <w:rsid w:val="00D7208D"/>
    <w:rsid w:val="00D73D43"/>
    <w:rsid w:val="00D75C81"/>
    <w:rsid w:val="00D9717F"/>
    <w:rsid w:val="00DB01C5"/>
    <w:rsid w:val="00DB45C8"/>
    <w:rsid w:val="00DB56C8"/>
    <w:rsid w:val="00DC1D09"/>
    <w:rsid w:val="00DC3AA5"/>
    <w:rsid w:val="00DD45B9"/>
    <w:rsid w:val="00DD48F8"/>
    <w:rsid w:val="00DE0745"/>
    <w:rsid w:val="00E207CA"/>
    <w:rsid w:val="00E20965"/>
    <w:rsid w:val="00E20D2B"/>
    <w:rsid w:val="00E23E7A"/>
    <w:rsid w:val="00E2572E"/>
    <w:rsid w:val="00E34EF8"/>
    <w:rsid w:val="00E5086E"/>
    <w:rsid w:val="00E55C08"/>
    <w:rsid w:val="00E5745C"/>
    <w:rsid w:val="00E60FB5"/>
    <w:rsid w:val="00E62954"/>
    <w:rsid w:val="00E71AEA"/>
    <w:rsid w:val="00E84E0C"/>
    <w:rsid w:val="00E9070A"/>
    <w:rsid w:val="00EA0799"/>
    <w:rsid w:val="00EC43C2"/>
    <w:rsid w:val="00ED0CD1"/>
    <w:rsid w:val="00ED68C9"/>
    <w:rsid w:val="00EE0471"/>
    <w:rsid w:val="00EE639F"/>
    <w:rsid w:val="00EE65FD"/>
    <w:rsid w:val="00EF08E5"/>
    <w:rsid w:val="00EF7607"/>
    <w:rsid w:val="00F007F4"/>
    <w:rsid w:val="00F0363D"/>
    <w:rsid w:val="00F13BCD"/>
    <w:rsid w:val="00F32EA3"/>
    <w:rsid w:val="00F42318"/>
    <w:rsid w:val="00F47032"/>
    <w:rsid w:val="00F77902"/>
    <w:rsid w:val="00F80AB2"/>
    <w:rsid w:val="00F90AB5"/>
    <w:rsid w:val="00FA1C95"/>
    <w:rsid w:val="00FA4F78"/>
    <w:rsid w:val="00FA6B36"/>
    <w:rsid w:val="00FD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1EF01"/>
  <w15:docId w15:val="{761DA4BF-AEDD-44CE-80B3-FE2E461C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i"/>
    <w:qFormat/>
    <w:rsid w:val="00F0363D"/>
    <w:pPr>
      <w:tabs>
        <w:tab w:val="left" w:pos="1134"/>
      </w:tabs>
      <w:spacing w:before="120" w:after="120" w:line="240" w:lineRule="auto"/>
      <w:ind w:left="851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8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7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7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flokkar">
    <w:name w:val="abc flokkar"/>
    <w:basedOn w:val="Normal"/>
    <w:link w:val="abcflokkarChar"/>
    <w:rsid w:val="008207EA"/>
    <w:pPr>
      <w:spacing w:line="240" w:lineRule="atLeast"/>
      <w:jc w:val="both"/>
    </w:pPr>
    <w:rPr>
      <w:color w:val="000000"/>
      <w:sz w:val="20"/>
      <w:szCs w:val="20"/>
    </w:rPr>
  </w:style>
  <w:style w:type="paragraph" w:customStyle="1" w:styleId="Kaflafyrirsagnir">
    <w:name w:val="Kaflafyrirsagnir"/>
    <w:basedOn w:val="Heading1"/>
    <w:next w:val="Normal"/>
    <w:link w:val="KaflafyrirsagnirChar"/>
    <w:qFormat/>
    <w:rsid w:val="002026BC"/>
    <w:pPr>
      <w:tabs>
        <w:tab w:val="left" w:pos="567"/>
      </w:tabs>
      <w:spacing w:before="170" w:after="57"/>
      <w:ind w:left="709" w:right="40" w:hanging="709"/>
      <w:jc w:val="both"/>
    </w:pPr>
    <w:rPr>
      <w:rFonts w:ascii="Times" w:eastAsia="Times New Roman" w:hAnsi="Times" w:cs="Arial"/>
      <w:noProof/>
      <w:color w:val="auto"/>
      <w:kern w:val="32"/>
      <w:sz w:val="24"/>
      <w:szCs w:val="32"/>
      <w:lang w:eastAsia="is-IS"/>
    </w:rPr>
  </w:style>
  <w:style w:type="character" w:customStyle="1" w:styleId="abcflokkarChar">
    <w:name w:val="abc flokkar Char"/>
    <w:link w:val="abcflokkar"/>
    <w:rsid w:val="008207EA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KaflafyrirsagnirChar">
    <w:name w:val="Kaflafyrirsagnir Char"/>
    <w:link w:val="Kaflafyrirsagnir"/>
    <w:rsid w:val="002026BC"/>
    <w:rPr>
      <w:rFonts w:ascii="Times" w:eastAsia="Times New Roman" w:hAnsi="Times" w:cs="Arial"/>
      <w:b/>
      <w:bCs/>
      <w:noProof/>
      <w:kern w:val="32"/>
      <w:sz w:val="24"/>
      <w:szCs w:val="32"/>
      <w:lang w:eastAsia="is-IS"/>
    </w:rPr>
  </w:style>
  <w:style w:type="paragraph" w:customStyle="1" w:styleId="abctafla">
    <w:name w:val="abc tafla"/>
    <w:basedOn w:val="abcflokkar"/>
    <w:next w:val="abcflokkar"/>
    <w:rsid w:val="008207EA"/>
    <w:pPr>
      <w:spacing w:after="0" w:line="240" w:lineRule="auto"/>
    </w:pPr>
    <w:rPr>
      <w:color w:val="auto"/>
    </w:rPr>
  </w:style>
  <w:style w:type="paragraph" w:customStyle="1" w:styleId="Li-fyrirsagnir">
    <w:name w:val="Lið-fyrirsagnir"/>
    <w:basedOn w:val="Heading5"/>
    <w:next w:val="Normal"/>
    <w:link w:val="Li-fyrirsagnirChar"/>
    <w:qFormat/>
    <w:rsid w:val="002026BC"/>
    <w:pPr>
      <w:keepNext w:val="0"/>
      <w:keepLines w:val="0"/>
      <w:tabs>
        <w:tab w:val="num" w:pos="1008"/>
      </w:tabs>
      <w:spacing w:before="120"/>
      <w:ind w:hanging="851"/>
    </w:pPr>
    <w:rPr>
      <w:rFonts w:ascii="Times New Roman" w:eastAsia="Times New Roman" w:hAnsi="Times New Roman" w:cs="Times New Roman"/>
      <w:b/>
      <w:bCs/>
      <w:iCs/>
      <w:color w:val="auto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7E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7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i-fyrirsagnirChar">
    <w:name w:val="Lið-fyrirsagnir Char"/>
    <w:basedOn w:val="DefaultParagraphFont"/>
    <w:link w:val="Li-fyrirsagnir"/>
    <w:rsid w:val="002026BC"/>
    <w:rPr>
      <w:rFonts w:ascii="Times New Roman" w:eastAsia="Times New Roman" w:hAnsi="Times New Roman" w:cs="Times New Roman"/>
      <w:b/>
      <w:bCs/>
      <w:iCs/>
      <w:sz w:val="24"/>
      <w:szCs w:val="26"/>
    </w:rPr>
  </w:style>
  <w:style w:type="character" w:customStyle="1" w:styleId="Heading1Char">
    <w:name w:val="Heading 1 Char"/>
    <w:basedOn w:val="DefaultParagraphFont"/>
    <w:link w:val="Heading1"/>
    <w:rsid w:val="001668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668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B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BC7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F5C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B28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8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8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8D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B7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verkþáttur"/>
    <w:uiPriority w:val="1"/>
    <w:qFormat/>
    <w:rsid w:val="002026BC"/>
    <w:pPr>
      <w:tabs>
        <w:tab w:val="left" w:pos="284"/>
        <w:tab w:val="left" w:pos="851"/>
        <w:tab w:val="left" w:pos="1134"/>
      </w:tabs>
      <w:spacing w:before="120" w:after="120" w:line="240" w:lineRule="auto"/>
      <w:ind w:left="851"/>
    </w:pPr>
    <w:rPr>
      <w:rFonts w:ascii="Times New Roman" w:eastAsiaTheme="minorEastAsia" w:hAnsi="Times New Roman"/>
      <w:sz w:val="24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2026BC"/>
    <w:pPr>
      <w:tabs>
        <w:tab w:val="clear" w:pos="1134"/>
      </w:tabs>
      <w:spacing w:before="240" w:after="0" w:line="259" w:lineRule="auto"/>
      <w:ind w:left="0"/>
      <w:outlineLvl w:val="9"/>
    </w:pPr>
    <w:rPr>
      <w:b w:val="0"/>
      <w:bCs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026BC"/>
    <w:pPr>
      <w:tabs>
        <w:tab w:val="clear" w:pos="1134"/>
      </w:tabs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2026BC"/>
    <w:rPr>
      <w:color w:val="0000FF" w:themeColor="hyperlink"/>
      <w:u w:val="single"/>
    </w:rPr>
  </w:style>
  <w:style w:type="paragraph" w:customStyle="1" w:styleId="Liurtexti">
    <w:name w:val="Liður texti"/>
    <w:basedOn w:val="Normal"/>
    <w:link w:val="LiurtextiChar"/>
    <w:autoRedefine/>
    <w:qFormat/>
    <w:rsid w:val="00D42091"/>
    <w:pPr>
      <w:widowControl w:val="0"/>
      <w:tabs>
        <w:tab w:val="clear" w:pos="1134"/>
      </w:tabs>
      <w:kinsoku w:val="0"/>
      <w:autoSpaceDE w:val="0"/>
      <w:autoSpaceDN w:val="0"/>
      <w:adjustRightInd w:val="0"/>
      <w:spacing w:after="60"/>
      <w:ind w:left="1134" w:right="425" w:hanging="283"/>
      <w:jc w:val="both"/>
    </w:pPr>
    <w:rPr>
      <w:rFonts w:eastAsia="Times" w:cs="Times New Roman"/>
      <w:bCs/>
      <w:noProof/>
      <w:szCs w:val="24"/>
      <w:lang w:eastAsia="is-IS"/>
    </w:rPr>
  </w:style>
  <w:style w:type="character" w:customStyle="1" w:styleId="LiurtextiChar">
    <w:name w:val="Liður texti Char"/>
    <w:basedOn w:val="DefaultParagraphFont"/>
    <w:link w:val="Liurtexti"/>
    <w:locked/>
    <w:rsid w:val="00D42091"/>
    <w:rPr>
      <w:rFonts w:ascii="Times New Roman" w:eastAsia="Times" w:hAnsi="Times New Roman" w:cs="Times New Roman"/>
      <w:bCs/>
      <w:noProof/>
      <w:sz w:val="24"/>
      <w:szCs w:val="24"/>
      <w:lang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2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33B82-EB13-4AE9-B4B0-7B5F249E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Gísli Gíslason</dc:creator>
  <cp:lastModifiedBy>Björgvin Brynjólfsson - VG</cp:lastModifiedBy>
  <cp:revision>8</cp:revision>
  <cp:lastPrinted>2016-03-31T09:27:00Z</cp:lastPrinted>
  <dcterms:created xsi:type="dcterms:W3CDTF">2018-11-22T14:25:00Z</dcterms:created>
  <dcterms:modified xsi:type="dcterms:W3CDTF">2023-05-02T15:29:00Z</dcterms:modified>
</cp:coreProperties>
</file>