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542479" w:displacedByCustomXml="next"/>
    <w:sdt>
      <w:sdtPr>
        <w:rPr>
          <w:rFonts w:ascii="Times New Roman" w:eastAsiaTheme="minorHAnsi" w:hAnsi="Times New Roman" w:cstheme="minorBidi"/>
          <w:color w:val="auto"/>
          <w:sz w:val="24"/>
          <w:szCs w:val="22"/>
          <w:lang w:val="is-IS"/>
        </w:rPr>
        <w:id w:val="-343782285"/>
        <w:docPartObj>
          <w:docPartGallery w:val="Table of Contents"/>
          <w:docPartUnique/>
        </w:docPartObj>
      </w:sdtPr>
      <w:sdtEndPr>
        <w:rPr>
          <w:b/>
          <w:bCs/>
          <w:noProof/>
        </w:rPr>
      </w:sdtEndPr>
      <w:sdtContent>
        <w:p w14:paraId="7748CAF4" w14:textId="77777777" w:rsidR="008B0DB0" w:rsidRPr="008B0DB0" w:rsidRDefault="008B0DB0">
          <w:pPr>
            <w:pStyle w:val="TOCHeading"/>
            <w:rPr>
              <w:b/>
              <w:color w:val="auto"/>
            </w:rPr>
          </w:pPr>
          <w:r w:rsidRPr="008B0DB0">
            <w:rPr>
              <w:b/>
              <w:color w:val="auto"/>
            </w:rPr>
            <w:t>Efnisyfirlit</w:t>
          </w:r>
        </w:p>
        <w:p w14:paraId="7748CAF5" w14:textId="77777777" w:rsidR="00F96C59" w:rsidRDefault="008B0DB0">
          <w:pPr>
            <w:pStyle w:val="TOC1"/>
            <w:tabs>
              <w:tab w:val="right" w:pos="906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33158727" w:history="1">
            <w:r w:rsidR="00F96C59" w:rsidRPr="000A4FE1">
              <w:rPr>
                <w:rStyle w:val="Hyperlink"/>
                <w:noProof/>
              </w:rPr>
              <w:t>Sponsþil - Almenn lýsing</w:t>
            </w:r>
            <w:r w:rsidR="00F96C59">
              <w:rPr>
                <w:noProof/>
                <w:webHidden/>
              </w:rPr>
              <w:tab/>
            </w:r>
            <w:r w:rsidR="00F96C59">
              <w:rPr>
                <w:noProof/>
                <w:webHidden/>
              </w:rPr>
              <w:fldChar w:fldCharType="begin"/>
            </w:r>
            <w:r w:rsidR="00F96C59">
              <w:rPr>
                <w:noProof/>
                <w:webHidden/>
              </w:rPr>
              <w:instrText xml:space="preserve"> PAGEREF _Toc533158727 \h </w:instrText>
            </w:r>
            <w:r w:rsidR="00F96C59">
              <w:rPr>
                <w:noProof/>
                <w:webHidden/>
              </w:rPr>
            </w:r>
            <w:r w:rsidR="00F96C59">
              <w:rPr>
                <w:noProof/>
                <w:webHidden/>
              </w:rPr>
              <w:fldChar w:fldCharType="separate"/>
            </w:r>
            <w:r w:rsidR="00F96C59">
              <w:rPr>
                <w:noProof/>
                <w:webHidden/>
              </w:rPr>
              <w:t>1</w:t>
            </w:r>
            <w:r w:rsidR="00F96C59">
              <w:rPr>
                <w:noProof/>
                <w:webHidden/>
              </w:rPr>
              <w:fldChar w:fldCharType="end"/>
            </w:r>
          </w:hyperlink>
        </w:p>
        <w:p w14:paraId="7748CAF6" w14:textId="77777777" w:rsidR="00F96C59" w:rsidRDefault="00BD3FE4">
          <w:pPr>
            <w:pStyle w:val="TOC1"/>
            <w:tabs>
              <w:tab w:val="right" w:pos="9062"/>
            </w:tabs>
            <w:rPr>
              <w:rFonts w:asciiTheme="minorHAnsi" w:eastAsiaTheme="minorEastAsia" w:hAnsiTheme="minorHAnsi"/>
              <w:noProof/>
              <w:sz w:val="22"/>
              <w:lang w:val="en-US"/>
            </w:rPr>
          </w:pPr>
          <w:hyperlink w:anchor="_Toc533158728" w:history="1">
            <w:r w:rsidR="00F96C59" w:rsidRPr="000A4FE1">
              <w:rPr>
                <w:rStyle w:val="Hyperlink"/>
                <w:noProof/>
              </w:rPr>
              <w:t>83.6  Sponsþil</w:t>
            </w:r>
            <w:r w:rsidR="00F96C59">
              <w:rPr>
                <w:noProof/>
                <w:webHidden/>
              </w:rPr>
              <w:tab/>
            </w:r>
            <w:r w:rsidR="00F96C59">
              <w:rPr>
                <w:noProof/>
                <w:webHidden/>
              </w:rPr>
              <w:fldChar w:fldCharType="begin"/>
            </w:r>
            <w:r w:rsidR="00F96C59">
              <w:rPr>
                <w:noProof/>
                <w:webHidden/>
              </w:rPr>
              <w:instrText xml:space="preserve"> PAGEREF _Toc533158728 \h </w:instrText>
            </w:r>
            <w:r w:rsidR="00F96C59">
              <w:rPr>
                <w:noProof/>
                <w:webHidden/>
              </w:rPr>
            </w:r>
            <w:r w:rsidR="00F96C59">
              <w:rPr>
                <w:noProof/>
                <w:webHidden/>
              </w:rPr>
              <w:fldChar w:fldCharType="separate"/>
            </w:r>
            <w:r w:rsidR="00F96C59">
              <w:rPr>
                <w:noProof/>
                <w:webHidden/>
              </w:rPr>
              <w:t>2</w:t>
            </w:r>
            <w:r w:rsidR="00F96C59">
              <w:rPr>
                <w:noProof/>
                <w:webHidden/>
              </w:rPr>
              <w:fldChar w:fldCharType="end"/>
            </w:r>
          </w:hyperlink>
        </w:p>
        <w:p w14:paraId="7748CAF7" w14:textId="77777777" w:rsidR="00F96C59" w:rsidRDefault="00BD3FE4">
          <w:pPr>
            <w:pStyle w:val="TOC1"/>
            <w:tabs>
              <w:tab w:val="right" w:pos="9062"/>
            </w:tabs>
            <w:rPr>
              <w:rFonts w:asciiTheme="minorHAnsi" w:eastAsiaTheme="minorEastAsia" w:hAnsiTheme="minorHAnsi"/>
              <w:noProof/>
              <w:sz w:val="22"/>
              <w:lang w:val="en-US"/>
            </w:rPr>
          </w:pPr>
          <w:hyperlink w:anchor="_Toc533158729" w:history="1">
            <w:r w:rsidR="00F96C59" w:rsidRPr="000A4FE1">
              <w:rPr>
                <w:rStyle w:val="Hyperlink"/>
                <w:noProof/>
              </w:rPr>
              <w:t>83.61 Stálþil, niðurrekstur og uppdráttur</w:t>
            </w:r>
            <w:r w:rsidR="00F96C59">
              <w:rPr>
                <w:noProof/>
                <w:webHidden/>
              </w:rPr>
              <w:tab/>
            </w:r>
            <w:r w:rsidR="00F96C59">
              <w:rPr>
                <w:noProof/>
                <w:webHidden/>
              </w:rPr>
              <w:fldChar w:fldCharType="begin"/>
            </w:r>
            <w:r w:rsidR="00F96C59">
              <w:rPr>
                <w:noProof/>
                <w:webHidden/>
              </w:rPr>
              <w:instrText xml:space="preserve"> PAGEREF _Toc533158729 \h </w:instrText>
            </w:r>
            <w:r w:rsidR="00F96C59">
              <w:rPr>
                <w:noProof/>
                <w:webHidden/>
              </w:rPr>
            </w:r>
            <w:r w:rsidR="00F96C59">
              <w:rPr>
                <w:noProof/>
                <w:webHidden/>
              </w:rPr>
              <w:fldChar w:fldCharType="separate"/>
            </w:r>
            <w:r w:rsidR="00F96C59">
              <w:rPr>
                <w:noProof/>
                <w:webHidden/>
              </w:rPr>
              <w:t>2</w:t>
            </w:r>
            <w:r w:rsidR="00F96C59">
              <w:rPr>
                <w:noProof/>
                <w:webHidden/>
              </w:rPr>
              <w:fldChar w:fldCharType="end"/>
            </w:r>
          </w:hyperlink>
        </w:p>
        <w:p w14:paraId="7748CAF8" w14:textId="77777777" w:rsidR="00F96C59" w:rsidRDefault="00BD3FE4">
          <w:pPr>
            <w:pStyle w:val="TOC1"/>
            <w:tabs>
              <w:tab w:val="right" w:pos="9062"/>
            </w:tabs>
            <w:rPr>
              <w:rFonts w:asciiTheme="minorHAnsi" w:eastAsiaTheme="minorEastAsia" w:hAnsiTheme="minorHAnsi"/>
              <w:noProof/>
              <w:sz w:val="22"/>
              <w:lang w:val="en-US"/>
            </w:rPr>
          </w:pPr>
          <w:hyperlink w:anchor="_Toc533158730" w:history="1">
            <w:r w:rsidR="00F96C59" w:rsidRPr="000A4FE1">
              <w:rPr>
                <w:rStyle w:val="Hyperlink"/>
                <w:noProof/>
              </w:rPr>
              <w:t>83.611 Stálþil, niðurrekstur</w:t>
            </w:r>
            <w:r w:rsidR="00F96C59">
              <w:rPr>
                <w:noProof/>
                <w:webHidden/>
              </w:rPr>
              <w:tab/>
            </w:r>
            <w:r w:rsidR="00F96C59">
              <w:rPr>
                <w:noProof/>
                <w:webHidden/>
              </w:rPr>
              <w:fldChar w:fldCharType="begin"/>
            </w:r>
            <w:r w:rsidR="00F96C59">
              <w:rPr>
                <w:noProof/>
                <w:webHidden/>
              </w:rPr>
              <w:instrText xml:space="preserve"> PAGEREF _Toc533158730 \h </w:instrText>
            </w:r>
            <w:r w:rsidR="00F96C59">
              <w:rPr>
                <w:noProof/>
                <w:webHidden/>
              </w:rPr>
            </w:r>
            <w:r w:rsidR="00F96C59">
              <w:rPr>
                <w:noProof/>
                <w:webHidden/>
              </w:rPr>
              <w:fldChar w:fldCharType="separate"/>
            </w:r>
            <w:r w:rsidR="00F96C59">
              <w:rPr>
                <w:noProof/>
                <w:webHidden/>
              </w:rPr>
              <w:t>2</w:t>
            </w:r>
            <w:r w:rsidR="00F96C59">
              <w:rPr>
                <w:noProof/>
                <w:webHidden/>
              </w:rPr>
              <w:fldChar w:fldCharType="end"/>
            </w:r>
          </w:hyperlink>
        </w:p>
        <w:p w14:paraId="7748CAF9" w14:textId="77777777" w:rsidR="00F96C59" w:rsidRDefault="00BD3FE4">
          <w:pPr>
            <w:pStyle w:val="TOC1"/>
            <w:tabs>
              <w:tab w:val="right" w:pos="9062"/>
            </w:tabs>
            <w:rPr>
              <w:rFonts w:asciiTheme="minorHAnsi" w:eastAsiaTheme="minorEastAsia" w:hAnsiTheme="minorHAnsi"/>
              <w:noProof/>
              <w:sz w:val="22"/>
              <w:lang w:val="en-US"/>
            </w:rPr>
          </w:pPr>
          <w:hyperlink w:anchor="_Toc533158731" w:history="1">
            <w:r w:rsidR="00F96C59" w:rsidRPr="000A4FE1">
              <w:rPr>
                <w:rStyle w:val="Hyperlink"/>
                <w:noProof/>
              </w:rPr>
              <w:t>83.612 Stálþil, efni</w:t>
            </w:r>
            <w:r w:rsidR="00F96C59">
              <w:rPr>
                <w:noProof/>
                <w:webHidden/>
              </w:rPr>
              <w:tab/>
            </w:r>
            <w:r w:rsidR="00F96C59">
              <w:rPr>
                <w:noProof/>
                <w:webHidden/>
              </w:rPr>
              <w:fldChar w:fldCharType="begin"/>
            </w:r>
            <w:r w:rsidR="00F96C59">
              <w:rPr>
                <w:noProof/>
                <w:webHidden/>
              </w:rPr>
              <w:instrText xml:space="preserve"> PAGEREF _Toc533158731 \h </w:instrText>
            </w:r>
            <w:r w:rsidR="00F96C59">
              <w:rPr>
                <w:noProof/>
                <w:webHidden/>
              </w:rPr>
            </w:r>
            <w:r w:rsidR="00F96C59">
              <w:rPr>
                <w:noProof/>
                <w:webHidden/>
              </w:rPr>
              <w:fldChar w:fldCharType="separate"/>
            </w:r>
            <w:r w:rsidR="00F96C59">
              <w:rPr>
                <w:noProof/>
                <w:webHidden/>
              </w:rPr>
              <w:t>3</w:t>
            </w:r>
            <w:r w:rsidR="00F96C59">
              <w:rPr>
                <w:noProof/>
                <w:webHidden/>
              </w:rPr>
              <w:fldChar w:fldCharType="end"/>
            </w:r>
          </w:hyperlink>
        </w:p>
        <w:p w14:paraId="7748CAFA" w14:textId="77777777" w:rsidR="00F96C59" w:rsidRDefault="00BD3FE4">
          <w:pPr>
            <w:pStyle w:val="TOC1"/>
            <w:tabs>
              <w:tab w:val="right" w:pos="9062"/>
            </w:tabs>
            <w:rPr>
              <w:rFonts w:asciiTheme="minorHAnsi" w:eastAsiaTheme="minorEastAsia" w:hAnsiTheme="minorHAnsi"/>
              <w:noProof/>
              <w:sz w:val="22"/>
              <w:lang w:val="en-US"/>
            </w:rPr>
          </w:pPr>
          <w:hyperlink w:anchor="_Toc533158732" w:history="1">
            <w:r w:rsidR="00F96C59" w:rsidRPr="000A4FE1">
              <w:rPr>
                <w:rStyle w:val="Hyperlink"/>
                <w:noProof/>
              </w:rPr>
              <w:t>83.613 Stálþil, uppdráttur</w:t>
            </w:r>
            <w:r w:rsidR="00F96C59">
              <w:rPr>
                <w:noProof/>
                <w:webHidden/>
              </w:rPr>
              <w:tab/>
            </w:r>
            <w:r w:rsidR="00F96C59">
              <w:rPr>
                <w:noProof/>
                <w:webHidden/>
              </w:rPr>
              <w:fldChar w:fldCharType="begin"/>
            </w:r>
            <w:r w:rsidR="00F96C59">
              <w:rPr>
                <w:noProof/>
                <w:webHidden/>
              </w:rPr>
              <w:instrText xml:space="preserve"> PAGEREF _Toc533158732 \h </w:instrText>
            </w:r>
            <w:r w:rsidR="00F96C59">
              <w:rPr>
                <w:noProof/>
                <w:webHidden/>
              </w:rPr>
            </w:r>
            <w:r w:rsidR="00F96C59">
              <w:rPr>
                <w:noProof/>
                <w:webHidden/>
              </w:rPr>
              <w:fldChar w:fldCharType="separate"/>
            </w:r>
            <w:r w:rsidR="00F96C59">
              <w:rPr>
                <w:noProof/>
                <w:webHidden/>
              </w:rPr>
              <w:t>3</w:t>
            </w:r>
            <w:r w:rsidR="00F96C59">
              <w:rPr>
                <w:noProof/>
                <w:webHidden/>
              </w:rPr>
              <w:fldChar w:fldCharType="end"/>
            </w:r>
          </w:hyperlink>
        </w:p>
        <w:p w14:paraId="7748CAFB" w14:textId="77777777" w:rsidR="00F96C59" w:rsidRDefault="00BD3FE4">
          <w:pPr>
            <w:pStyle w:val="TOC1"/>
            <w:tabs>
              <w:tab w:val="right" w:pos="9062"/>
            </w:tabs>
            <w:rPr>
              <w:rFonts w:asciiTheme="minorHAnsi" w:eastAsiaTheme="minorEastAsia" w:hAnsiTheme="minorHAnsi"/>
              <w:noProof/>
              <w:sz w:val="22"/>
              <w:lang w:val="en-US"/>
            </w:rPr>
          </w:pPr>
          <w:hyperlink w:anchor="_Toc533158733" w:history="1">
            <w:r w:rsidR="00F96C59" w:rsidRPr="000A4FE1">
              <w:rPr>
                <w:rStyle w:val="Hyperlink"/>
                <w:noProof/>
              </w:rPr>
              <w:t>83.62 Timburþil, niðurrekstur og uppdráttur</w:t>
            </w:r>
            <w:r w:rsidR="00F96C59">
              <w:rPr>
                <w:noProof/>
                <w:webHidden/>
              </w:rPr>
              <w:tab/>
            </w:r>
            <w:r w:rsidR="00F96C59">
              <w:rPr>
                <w:noProof/>
                <w:webHidden/>
              </w:rPr>
              <w:fldChar w:fldCharType="begin"/>
            </w:r>
            <w:r w:rsidR="00F96C59">
              <w:rPr>
                <w:noProof/>
                <w:webHidden/>
              </w:rPr>
              <w:instrText xml:space="preserve"> PAGEREF _Toc533158733 \h </w:instrText>
            </w:r>
            <w:r w:rsidR="00F96C59">
              <w:rPr>
                <w:noProof/>
                <w:webHidden/>
              </w:rPr>
            </w:r>
            <w:r w:rsidR="00F96C59">
              <w:rPr>
                <w:noProof/>
                <w:webHidden/>
              </w:rPr>
              <w:fldChar w:fldCharType="separate"/>
            </w:r>
            <w:r w:rsidR="00F96C59">
              <w:rPr>
                <w:noProof/>
                <w:webHidden/>
              </w:rPr>
              <w:t>3</w:t>
            </w:r>
            <w:r w:rsidR="00F96C59">
              <w:rPr>
                <w:noProof/>
                <w:webHidden/>
              </w:rPr>
              <w:fldChar w:fldCharType="end"/>
            </w:r>
          </w:hyperlink>
        </w:p>
        <w:p w14:paraId="7748CAFC" w14:textId="77777777" w:rsidR="00F96C59" w:rsidRDefault="00BD3FE4">
          <w:pPr>
            <w:pStyle w:val="TOC1"/>
            <w:tabs>
              <w:tab w:val="right" w:pos="9062"/>
            </w:tabs>
            <w:rPr>
              <w:rFonts w:asciiTheme="minorHAnsi" w:eastAsiaTheme="minorEastAsia" w:hAnsiTheme="minorHAnsi"/>
              <w:noProof/>
              <w:sz w:val="22"/>
              <w:lang w:val="en-US"/>
            </w:rPr>
          </w:pPr>
          <w:hyperlink w:anchor="_Toc533158734" w:history="1">
            <w:r w:rsidR="00F96C59" w:rsidRPr="000A4FE1">
              <w:rPr>
                <w:rStyle w:val="Hyperlink"/>
                <w:noProof/>
              </w:rPr>
              <w:t>83.621 Timburþil, niðurrekstur</w:t>
            </w:r>
            <w:r w:rsidR="00F96C59">
              <w:rPr>
                <w:noProof/>
                <w:webHidden/>
              </w:rPr>
              <w:tab/>
            </w:r>
            <w:r w:rsidR="00F96C59">
              <w:rPr>
                <w:noProof/>
                <w:webHidden/>
              </w:rPr>
              <w:fldChar w:fldCharType="begin"/>
            </w:r>
            <w:r w:rsidR="00F96C59">
              <w:rPr>
                <w:noProof/>
                <w:webHidden/>
              </w:rPr>
              <w:instrText xml:space="preserve"> PAGEREF _Toc533158734 \h </w:instrText>
            </w:r>
            <w:r w:rsidR="00F96C59">
              <w:rPr>
                <w:noProof/>
                <w:webHidden/>
              </w:rPr>
            </w:r>
            <w:r w:rsidR="00F96C59">
              <w:rPr>
                <w:noProof/>
                <w:webHidden/>
              </w:rPr>
              <w:fldChar w:fldCharType="separate"/>
            </w:r>
            <w:r w:rsidR="00F96C59">
              <w:rPr>
                <w:noProof/>
                <w:webHidden/>
              </w:rPr>
              <w:t>3</w:t>
            </w:r>
            <w:r w:rsidR="00F96C59">
              <w:rPr>
                <w:noProof/>
                <w:webHidden/>
              </w:rPr>
              <w:fldChar w:fldCharType="end"/>
            </w:r>
          </w:hyperlink>
        </w:p>
        <w:p w14:paraId="7748CAFD" w14:textId="77777777" w:rsidR="00F96C59" w:rsidRDefault="00BD3FE4">
          <w:pPr>
            <w:pStyle w:val="TOC1"/>
            <w:tabs>
              <w:tab w:val="right" w:pos="9062"/>
            </w:tabs>
            <w:rPr>
              <w:rFonts w:asciiTheme="minorHAnsi" w:eastAsiaTheme="minorEastAsia" w:hAnsiTheme="minorHAnsi"/>
              <w:noProof/>
              <w:sz w:val="22"/>
              <w:lang w:val="en-US"/>
            </w:rPr>
          </w:pPr>
          <w:hyperlink w:anchor="_Toc533158735" w:history="1">
            <w:r w:rsidR="00F96C59" w:rsidRPr="000A4FE1">
              <w:rPr>
                <w:rStyle w:val="Hyperlink"/>
                <w:noProof/>
              </w:rPr>
              <w:t>83.622 Timburþil, efni</w:t>
            </w:r>
            <w:r w:rsidR="00F96C59">
              <w:rPr>
                <w:noProof/>
                <w:webHidden/>
              </w:rPr>
              <w:tab/>
            </w:r>
            <w:r w:rsidR="00F96C59">
              <w:rPr>
                <w:noProof/>
                <w:webHidden/>
              </w:rPr>
              <w:fldChar w:fldCharType="begin"/>
            </w:r>
            <w:r w:rsidR="00F96C59">
              <w:rPr>
                <w:noProof/>
                <w:webHidden/>
              </w:rPr>
              <w:instrText xml:space="preserve"> PAGEREF _Toc533158735 \h </w:instrText>
            </w:r>
            <w:r w:rsidR="00F96C59">
              <w:rPr>
                <w:noProof/>
                <w:webHidden/>
              </w:rPr>
            </w:r>
            <w:r w:rsidR="00F96C59">
              <w:rPr>
                <w:noProof/>
                <w:webHidden/>
              </w:rPr>
              <w:fldChar w:fldCharType="separate"/>
            </w:r>
            <w:r w:rsidR="00F96C59">
              <w:rPr>
                <w:noProof/>
                <w:webHidden/>
              </w:rPr>
              <w:t>4</w:t>
            </w:r>
            <w:r w:rsidR="00F96C59">
              <w:rPr>
                <w:noProof/>
                <w:webHidden/>
              </w:rPr>
              <w:fldChar w:fldCharType="end"/>
            </w:r>
          </w:hyperlink>
        </w:p>
        <w:p w14:paraId="7748CAFE" w14:textId="77777777" w:rsidR="00F96C59" w:rsidRDefault="00BD3FE4">
          <w:pPr>
            <w:pStyle w:val="TOC1"/>
            <w:tabs>
              <w:tab w:val="right" w:pos="9062"/>
            </w:tabs>
            <w:rPr>
              <w:rFonts w:asciiTheme="minorHAnsi" w:eastAsiaTheme="minorEastAsia" w:hAnsiTheme="minorHAnsi"/>
              <w:noProof/>
              <w:sz w:val="22"/>
              <w:lang w:val="en-US"/>
            </w:rPr>
          </w:pPr>
          <w:hyperlink w:anchor="_Toc533158736" w:history="1">
            <w:r w:rsidR="00F96C59" w:rsidRPr="000A4FE1">
              <w:rPr>
                <w:rStyle w:val="Hyperlink"/>
                <w:noProof/>
              </w:rPr>
              <w:t>83.623 Timburþil, uppdráttur</w:t>
            </w:r>
            <w:r w:rsidR="00F96C59">
              <w:rPr>
                <w:noProof/>
                <w:webHidden/>
              </w:rPr>
              <w:tab/>
            </w:r>
            <w:r w:rsidR="00F96C59">
              <w:rPr>
                <w:noProof/>
                <w:webHidden/>
              </w:rPr>
              <w:fldChar w:fldCharType="begin"/>
            </w:r>
            <w:r w:rsidR="00F96C59">
              <w:rPr>
                <w:noProof/>
                <w:webHidden/>
              </w:rPr>
              <w:instrText xml:space="preserve"> PAGEREF _Toc533158736 \h </w:instrText>
            </w:r>
            <w:r w:rsidR="00F96C59">
              <w:rPr>
                <w:noProof/>
                <w:webHidden/>
              </w:rPr>
            </w:r>
            <w:r w:rsidR="00F96C59">
              <w:rPr>
                <w:noProof/>
                <w:webHidden/>
              </w:rPr>
              <w:fldChar w:fldCharType="separate"/>
            </w:r>
            <w:r w:rsidR="00F96C59">
              <w:rPr>
                <w:noProof/>
                <w:webHidden/>
              </w:rPr>
              <w:t>4</w:t>
            </w:r>
            <w:r w:rsidR="00F96C59">
              <w:rPr>
                <w:noProof/>
                <w:webHidden/>
              </w:rPr>
              <w:fldChar w:fldCharType="end"/>
            </w:r>
          </w:hyperlink>
        </w:p>
        <w:p w14:paraId="7748CAFF" w14:textId="77777777" w:rsidR="008B0DB0" w:rsidRDefault="008B0DB0">
          <w:r>
            <w:rPr>
              <w:b/>
              <w:bCs/>
              <w:noProof/>
            </w:rPr>
            <w:fldChar w:fldCharType="end"/>
          </w:r>
        </w:p>
      </w:sdtContent>
    </w:sdt>
    <w:p w14:paraId="7748CB00" w14:textId="77777777" w:rsidR="008B0DB0" w:rsidRDefault="008B0DB0" w:rsidP="002026BC">
      <w:pPr>
        <w:pStyle w:val="Kaflafyrirsagnir"/>
      </w:pPr>
    </w:p>
    <w:p w14:paraId="7748CB01" w14:textId="77777777" w:rsidR="008207EA" w:rsidRPr="002026BC" w:rsidRDefault="00270783" w:rsidP="005562DA">
      <w:pPr>
        <w:pStyle w:val="Kaflafyrirsagnir"/>
        <w:ind w:left="0" w:firstLine="0"/>
      </w:pPr>
      <w:bookmarkStart w:id="1" w:name="_Toc533158727"/>
      <w:bookmarkEnd w:id="0"/>
      <w:r>
        <w:t>Sponsþil</w:t>
      </w:r>
      <w:r w:rsidR="00B97DF6">
        <w:t xml:space="preserve"> - </w:t>
      </w:r>
      <w:r w:rsidR="00CA7E5B" w:rsidRPr="002026BC">
        <w:t>Almenn lýsing</w:t>
      </w:r>
      <w:bookmarkEnd w:id="1"/>
    </w:p>
    <w:p w14:paraId="7748CB02" w14:textId="77777777" w:rsidR="000B7FAC" w:rsidRPr="002026BC" w:rsidRDefault="000B7FAC" w:rsidP="002026BC">
      <w:pPr>
        <w:pStyle w:val="Li-fyrirsagnir"/>
      </w:pPr>
      <w:r w:rsidRPr="002026BC">
        <w:t>a)</w:t>
      </w:r>
      <w:r w:rsidRPr="002026BC">
        <w:tab/>
        <w:t>Verksvið</w:t>
      </w:r>
    </w:p>
    <w:p w14:paraId="7748CB03" w14:textId="77777777" w:rsidR="000B7FAC" w:rsidRDefault="00270783" w:rsidP="00270783">
      <w:pPr>
        <w:rPr>
          <w:b/>
        </w:rPr>
      </w:pPr>
      <w:r>
        <w:t>Verksviðið er sponsþil.  Innifalið er allur kostnaður, efni, vinna og flutningur vegna niðurrekstrar og uppdráttar</w:t>
      </w:r>
      <w:r w:rsidR="0043522E">
        <w:t xml:space="preserve"> </w:t>
      </w:r>
      <w:r>
        <w:t>sponsþils, þ.m.t.: Uppsetning, færslur og niðurtekt niðurrekstrar- eða uppdráttarbúnaðar, skeyting og skurður sponsþils í rétta hæð</w:t>
      </w:r>
      <w:r w:rsidR="003C15D1">
        <w:t>.</w:t>
      </w:r>
    </w:p>
    <w:p w14:paraId="7748CB04" w14:textId="77777777" w:rsidR="008207EA" w:rsidRPr="002026BC" w:rsidRDefault="008207EA" w:rsidP="002026BC">
      <w:pPr>
        <w:pStyle w:val="Li-fyrirsagnir"/>
      </w:pPr>
      <w:r w:rsidRPr="002026BC">
        <w:t>b)</w:t>
      </w:r>
      <w:r w:rsidRPr="002026BC">
        <w:tab/>
        <w:t>Efniskröfur</w:t>
      </w:r>
    </w:p>
    <w:p w14:paraId="7748CB05" w14:textId="77777777" w:rsidR="00A81C00" w:rsidRPr="00023674" w:rsidRDefault="00B301E0" w:rsidP="00B301E0">
      <w:pPr>
        <w:rPr>
          <w:szCs w:val="24"/>
        </w:rPr>
      </w:pPr>
      <w:r w:rsidRPr="009B1008">
        <w:rPr>
          <w:szCs w:val="24"/>
        </w:rPr>
        <w:t>S</w:t>
      </w:r>
      <w:r>
        <w:rPr>
          <w:szCs w:val="24"/>
        </w:rPr>
        <w:t>tál í sponsþil</w:t>
      </w:r>
      <w:r w:rsidRPr="009B1008">
        <w:rPr>
          <w:szCs w:val="24"/>
        </w:rPr>
        <w:t xml:space="preserve"> skal uppfylla kröfur ÍST EN 10025 um stál </w:t>
      </w:r>
      <w:r>
        <w:rPr>
          <w:szCs w:val="24"/>
        </w:rPr>
        <w:t xml:space="preserve">í styrkleikaflokki S235J2 eða betra.  </w:t>
      </w:r>
      <w:r w:rsidRPr="00023674">
        <w:t xml:space="preserve">Kröfur til suðu skulu vera í samræmi við gildandi staðla.  </w:t>
      </w:r>
    </w:p>
    <w:p w14:paraId="7748CB06" w14:textId="77777777" w:rsidR="008207EA" w:rsidRPr="002026BC" w:rsidRDefault="008207EA" w:rsidP="002026BC">
      <w:pPr>
        <w:pStyle w:val="Li-fyrirsagnir"/>
      </w:pPr>
      <w:r w:rsidRPr="002026BC">
        <w:t>c)</w:t>
      </w:r>
      <w:r w:rsidRPr="002026BC">
        <w:tab/>
        <w:t>Vinnugæði</w:t>
      </w:r>
      <w:r w:rsidR="0072357B" w:rsidRPr="002026BC">
        <w:t xml:space="preserve"> </w:t>
      </w:r>
    </w:p>
    <w:p w14:paraId="7748CB07" w14:textId="77777777" w:rsidR="00B301E0" w:rsidRDefault="00B301E0" w:rsidP="00B301E0">
      <w:r>
        <w:t>Við upphaf rekstrar skulu stýringar að fullu skilgreindar og settar upp þannig að stilla megi einingum upp og reka þær þannig niður að það form náist sem ráðgert er að hafa á þilinu.</w:t>
      </w:r>
    </w:p>
    <w:p w14:paraId="7748CB08" w14:textId="77777777" w:rsidR="00B151FD" w:rsidRDefault="00B301E0" w:rsidP="00B301E0">
      <w:r>
        <w:t>Sérhver eining skal rekin hæfilega langt niður þannig að þess sé gætt að innbyrðislæsing eininga raskist ekki.</w:t>
      </w:r>
    </w:p>
    <w:p w14:paraId="7748CB09" w14:textId="77777777" w:rsidR="00B301E0" w:rsidRDefault="00B301E0" w:rsidP="00B301E0">
      <w:pPr>
        <w:rPr>
          <w:szCs w:val="24"/>
        </w:rPr>
      </w:pPr>
      <w:r>
        <w:t>Sponsþil skal rekið niður í þá dýpt sem mælt er fyrir um eða það langt niður að viðeigandi þétting náist til að hægt sé að vinna að byggingu undirstöðunnar að mati eftirlits.</w:t>
      </w:r>
    </w:p>
    <w:p w14:paraId="7748CB0A" w14:textId="77777777" w:rsidR="008207EA" w:rsidRPr="002026BC" w:rsidRDefault="008207EA" w:rsidP="002026BC">
      <w:pPr>
        <w:pStyle w:val="Li-fyrirsagnir"/>
      </w:pPr>
      <w:r w:rsidRPr="002026BC">
        <w:t>d)</w:t>
      </w:r>
      <w:r w:rsidRPr="002026BC">
        <w:tab/>
        <w:t xml:space="preserve">Prófanir </w:t>
      </w:r>
    </w:p>
    <w:p w14:paraId="7748CB0B" w14:textId="77777777" w:rsidR="00B301E0" w:rsidRDefault="00B301E0" w:rsidP="002026BC">
      <w:r>
        <w:t xml:space="preserve">Niðurrekstrarskýrslu skal færa fyrir hverja undirstöðu þar sem fram kemur m.a.: </w:t>
      </w:r>
    </w:p>
    <w:p w14:paraId="7748CB0C" w14:textId="77777777" w:rsidR="00B301E0" w:rsidRDefault="00B301E0" w:rsidP="002026BC">
      <w:r>
        <w:tab/>
        <w:t xml:space="preserve">1) Gerð sponsþils. </w:t>
      </w:r>
    </w:p>
    <w:p w14:paraId="7748CB0D" w14:textId="77777777" w:rsidR="00B301E0" w:rsidRDefault="00B301E0" w:rsidP="002026BC">
      <w:r>
        <w:tab/>
        <w:t>2) Gangur eininga í rekstri síðasta 1,0 m</w:t>
      </w:r>
      <w:r w:rsidR="0043522E">
        <w:t>,</w:t>
      </w:r>
      <w:r>
        <w:t xml:space="preserve"> talið í höggum pr. 0,2 m. </w:t>
      </w:r>
    </w:p>
    <w:p w14:paraId="7748CB0E" w14:textId="77777777" w:rsidR="00B301E0" w:rsidRDefault="00B301E0" w:rsidP="002026BC">
      <w:r>
        <w:tab/>
        <w:t xml:space="preserve">3) Hæð á neðri enda þils. </w:t>
      </w:r>
    </w:p>
    <w:p w14:paraId="7748CB0F" w14:textId="77777777" w:rsidR="00B301E0" w:rsidRDefault="00B301E0" w:rsidP="002026BC">
      <w:r>
        <w:lastRenderedPageBreak/>
        <w:tab/>
        <w:t xml:space="preserve">4) Hæð á efri enda þils. </w:t>
      </w:r>
    </w:p>
    <w:p w14:paraId="7748CB10" w14:textId="77777777" w:rsidR="00B301E0" w:rsidRDefault="00B301E0" w:rsidP="002026BC">
      <w:r>
        <w:tab/>
        <w:t xml:space="preserve">5) Jarðvegshæð. </w:t>
      </w:r>
    </w:p>
    <w:p w14:paraId="7748CB11" w14:textId="77777777" w:rsidR="008207EA" w:rsidRDefault="00B301E0" w:rsidP="002026BC">
      <w:pPr>
        <w:rPr>
          <w:szCs w:val="24"/>
        </w:rPr>
      </w:pPr>
      <w:r>
        <w:tab/>
        <w:t>6) Óregla í niðurrekstri (ef einhver).</w:t>
      </w:r>
    </w:p>
    <w:p w14:paraId="7748CB12" w14:textId="77777777" w:rsidR="008207EA" w:rsidRPr="002026BC" w:rsidRDefault="008207EA" w:rsidP="002026BC">
      <w:pPr>
        <w:pStyle w:val="Li-fyrirsagnir"/>
      </w:pPr>
      <w:r w:rsidRPr="002026BC">
        <w:t>e)</w:t>
      </w:r>
      <w:r w:rsidRPr="002026BC">
        <w:tab/>
        <w:t>Nákvæmni</w:t>
      </w:r>
      <w:r w:rsidR="00A34CE5">
        <w:t>s</w:t>
      </w:r>
      <w:r w:rsidRPr="002026BC">
        <w:t>kröfur</w:t>
      </w:r>
      <w:r w:rsidR="00A34CE5">
        <w:t>, frá</w:t>
      </w:r>
      <w:r w:rsidRPr="002026BC">
        <w:t>vik</w:t>
      </w:r>
    </w:p>
    <w:p w14:paraId="7748CB13" w14:textId="77777777" w:rsidR="005031C4" w:rsidRDefault="00B301E0" w:rsidP="002026BC">
      <w:r>
        <w:t>Mest leyfðu frávik frá ráðgerðri staðsetningu sponsþils eru 0,1 m í allar áttir.</w:t>
      </w:r>
    </w:p>
    <w:p w14:paraId="7748CB14" w14:textId="77777777" w:rsidR="00996CE0" w:rsidRPr="005031C4" w:rsidRDefault="00996CE0" w:rsidP="002026BC"/>
    <w:p w14:paraId="7748CB15" w14:textId="77777777" w:rsidR="00240582" w:rsidRPr="002026BC" w:rsidRDefault="00B301E0" w:rsidP="002026BC">
      <w:pPr>
        <w:pStyle w:val="Kaflafyrirsagnir"/>
      </w:pPr>
      <w:bookmarkStart w:id="2" w:name="_Toc533158728"/>
      <w:r>
        <w:t xml:space="preserve">83.6 </w:t>
      </w:r>
      <w:r w:rsidR="008B0DB0">
        <w:t xml:space="preserve"> </w:t>
      </w:r>
      <w:r>
        <w:t>Sponsþil</w:t>
      </w:r>
      <w:bookmarkEnd w:id="2"/>
    </w:p>
    <w:p w14:paraId="7748CB16" w14:textId="77777777" w:rsidR="00B301E0" w:rsidRDefault="00240582" w:rsidP="00B301E0">
      <w:r w:rsidRPr="00996CE0">
        <w:rPr>
          <w:b/>
        </w:rPr>
        <w:t>a)</w:t>
      </w:r>
      <w:r w:rsidRPr="00831D1B">
        <w:tab/>
      </w:r>
      <w:r w:rsidR="00996CE0">
        <w:t xml:space="preserve"> Um er að ræða</w:t>
      </w:r>
      <w:r w:rsidR="00B301E0">
        <w:t xml:space="preserve"> allan kostnað, efni, vinnu og flutning vegna niðurrekstrar og uppdráttar sponsþils, þ.m.t.: Uppsetning, færslur og niðurtekt niðurrekstrar- eða</w:t>
      </w:r>
    </w:p>
    <w:p w14:paraId="7748CB17" w14:textId="77777777" w:rsidR="00240582" w:rsidRPr="00840C24" w:rsidRDefault="00B301E0" w:rsidP="00B301E0">
      <w:pPr>
        <w:rPr>
          <w:b/>
          <w:bCs/>
          <w:iCs/>
        </w:rPr>
      </w:pPr>
      <w:r>
        <w:t>uppdráttarbúnaðar, skeyting og skurður sponsþils í rétta hæð.</w:t>
      </w:r>
      <w:r w:rsidR="00996CE0" w:rsidRPr="00996CE0">
        <w:rPr>
          <w:i/>
          <w:color w:val="4F81BD" w:themeColor="accent1"/>
        </w:rPr>
        <w:t xml:space="preserve"> </w:t>
      </w:r>
      <w:r w:rsidR="00996CE0" w:rsidRPr="0082773A">
        <w:rPr>
          <w:i/>
          <w:color w:val="4F81BD" w:themeColor="accent1"/>
        </w:rPr>
        <w:t>[nánari lýsing]</w:t>
      </w:r>
    </w:p>
    <w:p w14:paraId="7748CB18" w14:textId="77777777" w:rsidR="00240582" w:rsidRPr="00472DA6" w:rsidRDefault="00240582" w:rsidP="002026BC">
      <w:pPr>
        <w:rPr>
          <w:i/>
          <w:color w:val="4F81BD" w:themeColor="accent1"/>
        </w:rPr>
      </w:pPr>
      <w:r w:rsidRPr="00996CE0">
        <w:rPr>
          <w:b/>
        </w:rPr>
        <w:t>b)</w:t>
      </w:r>
      <w:r w:rsidRPr="00996CE0">
        <w:rPr>
          <w:b/>
        </w:rPr>
        <w:tab/>
      </w:r>
      <w:r w:rsidR="00E04E2A">
        <w:t xml:space="preserve">Gerð, lengd og styrkur </w:t>
      </w:r>
      <w:r w:rsidRPr="00472DA6">
        <w:t xml:space="preserve">skal vera  </w:t>
      </w:r>
      <w:r w:rsidR="001C2A54">
        <w:t xml:space="preserve"> </w:t>
      </w:r>
      <w:r w:rsidRPr="00472DA6">
        <w:rPr>
          <w:i/>
          <w:color w:val="4F81BD" w:themeColor="accent1"/>
        </w:rPr>
        <w:t>[lýsing komi hér]</w:t>
      </w:r>
    </w:p>
    <w:p w14:paraId="7748CB19" w14:textId="77777777" w:rsidR="00240582" w:rsidRPr="00DE0745" w:rsidRDefault="00240582" w:rsidP="002026BC">
      <w:r w:rsidRPr="00DE0745">
        <w:rPr>
          <w:u w:val="single"/>
        </w:rPr>
        <w:t>Sin</w:t>
      </w:r>
      <w:r w:rsidR="00E04E2A">
        <w:rPr>
          <w:u w:val="single"/>
        </w:rPr>
        <w:t>khúðun stálþila</w:t>
      </w:r>
    </w:p>
    <w:p w14:paraId="7748CB1A" w14:textId="77777777" w:rsidR="00240582" w:rsidRDefault="00240582" w:rsidP="002026BC">
      <w:pPr>
        <w:rPr>
          <w:i/>
          <w:color w:val="4F81BD" w:themeColor="accent1"/>
        </w:rPr>
      </w:pPr>
      <w:r>
        <w:t>Lágmarksþykkt sinkhúðar skal vera</w:t>
      </w:r>
      <w:r w:rsidR="001C2A54">
        <w:t xml:space="preserve"> </w:t>
      </w:r>
      <w:r w:rsidRPr="00472DA6">
        <w:rPr>
          <w:i/>
          <w:color w:val="4F81BD" w:themeColor="accent1"/>
        </w:rPr>
        <w:t>[lýsing komi hér]</w:t>
      </w:r>
    </w:p>
    <w:p w14:paraId="7748CB1B" w14:textId="77777777" w:rsidR="00240582" w:rsidRDefault="00240582" w:rsidP="002026BC">
      <w:pPr>
        <w:rPr>
          <w:i/>
          <w:color w:val="4F81BD" w:themeColor="accent1"/>
        </w:rPr>
      </w:pPr>
      <w:r>
        <w:t>Meðalþykkt sinkhúðar skal vera</w:t>
      </w:r>
      <w:r w:rsidR="001C2A54">
        <w:t xml:space="preserve">  </w:t>
      </w:r>
      <w:r w:rsidRPr="00472DA6">
        <w:rPr>
          <w:i/>
          <w:color w:val="4F81BD" w:themeColor="accent1"/>
        </w:rPr>
        <w:t>[lýsing komi hér]</w:t>
      </w:r>
    </w:p>
    <w:p w14:paraId="7748CB1C" w14:textId="77777777" w:rsidR="00240582" w:rsidRPr="00DE0745" w:rsidRDefault="00240582" w:rsidP="002026BC">
      <w:r w:rsidRPr="00DE0745">
        <w:rPr>
          <w:u w:val="single"/>
        </w:rPr>
        <w:t>Sinkhúðun á bolta og rær</w:t>
      </w:r>
    </w:p>
    <w:p w14:paraId="7748CB1D" w14:textId="77777777" w:rsidR="00240582" w:rsidRDefault="00240582" w:rsidP="002026BC">
      <w:pPr>
        <w:rPr>
          <w:i/>
          <w:color w:val="4F81BD" w:themeColor="accent1"/>
        </w:rPr>
      </w:pPr>
      <w:r>
        <w:t>Lágmarksþykkt sinkhúðar skal vera</w:t>
      </w:r>
      <w:r w:rsidR="001C2A54">
        <w:t xml:space="preserve"> </w:t>
      </w:r>
      <w:r w:rsidRPr="00472DA6">
        <w:rPr>
          <w:i/>
          <w:color w:val="4F81BD" w:themeColor="accent1"/>
        </w:rPr>
        <w:t>[lýsing komi hér]</w:t>
      </w:r>
    </w:p>
    <w:p w14:paraId="7748CB1E" w14:textId="77777777" w:rsidR="00240582" w:rsidRDefault="00240582" w:rsidP="002026BC">
      <w:pPr>
        <w:rPr>
          <w:i/>
          <w:color w:val="4F81BD" w:themeColor="accent1"/>
        </w:rPr>
      </w:pPr>
      <w:r>
        <w:t>Meðalþykkt sinkhúðar skal vera</w:t>
      </w:r>
      <w:r w:rsidR="001C2A54">
        <w:t xml:space="preserve"> </w:t>
      </w:r>
      <w:r w:rsidRPr="00472DA6">
        <w:rPr>
          <w:i/>
          <w:color w:val="4F81BD" w:themeColor="accent1"/>
        </w:rPr>
        <w:t>[lýsing komi hér]</w:t>
      </w:r>
    </w:p>
    <w:p w14:paraId="7748CB1F" w14:textId="77777777" w:rsidR="00C75112" w:rsidRDefault="00C75112" w:rsidP="00C75112">
      <w:pPr>
        <w:pStyle w:val="NoSpacing"/>
        <w:rPr>
          <w:b/>
          <w:bCs/>
          <w:i/>
          <w:iCs/>
          <w:color w:val="4F81BD" w:themeColor="accent1"/>
        </w:rPr>
      </w:pPr>
      <w:r w:rsidRPr="00996CE0">
        <w:rPr>
          <w:b/>
        </w:rPr>
        <w:t>c)</w:t>
      </w:r>
      <w:r>
        <w:tab/>
      </w:r>
      <w:r w:rsidRPr="003A50EC">
        <w:rPr>
          <w:i/>
          <w:color w:val="4F81BD" w:themeColor="accent1"/>
        </w:rPr>
        <w:t>[lýsing, tilv. í uppdrætti]</w:t>
      </w:r>
      <w:r>
        <w:rPr>
          <w:i/>
          <w:color w:val="4F81BD" w:themeColor="accent1"/>
        </w:rPr>
        <w:t>.</w:t>
      </w:r>
    </w:p>
    <w:p w14:paraId="7748CB20" w14:textId="77777777" w:rsidR="00E04E2A" w:rsidRDefault="00240582" w:rsidP="00E04E2A">
      <w:r w:rsidRPr="00996CE0">
        <w:rPr>
          <w:b/>
        </w:rPr>
        <w:t>f)</w:t>
      </w:r>
      <w:r w:rsidRPr="00831D1B">
        <w:tab/>
      </w:r>
      <w:r w:rsidRPr="00077A69">
        <w:t xml:space="preserve">Uppgjör miðast </w:t>
      </w:r>
      <w:r w:rsidR="00E04E2A">
        <w:t xml:space="preserve">við </w:t>
      </w:r>
      <w:r w:rsidR="00E04E2A" w:rsidRPr="00E04E2A">
        <w:t xml:space="preserve">ósundurliðaða upphæð. </w:t>
      </w:r>
    </w:p>
    <w:p w14:paraId="7748CB21" w14:textId="77777777" w:rsidR="00240582" w:rsidRPr="007F5C04" w:rsidRDefault="00E04E2A" w:rsidP="00E04E2A">
      <w:r>
        <w:t>Mælieining:</w:t>
      </w:r>
      <w:r>
        <w:tab/>
        <w:t>HT</w:t>
      </w:r>
    </w:p>
    <w:p w14:paraId="7748CB22" w14:textId="77777777" w:rsidR="00562961" w:rsidRPr="002026BC" w:rsidRDefault="00562961" w:rsidP="00562961">
      <w:pPr>
        <w:pStyle w:val="Kaflafyrirsagnir"/>
      </w:pPr>
      <w:bookmarkStart w:id="3" w:name="_Toc533158729"/>
      <w:r>
        <w:t>83.61 Stálþil, niðurrekstur og uppdráttur</w:t>
      </w:r>
      <w:bookmarkEnd w:id="3"/>
    </w:p>
    <w:p w14:paraId="7748CB23" w14:textId="77777777" w:rsidR="00562961" w:rsidRDefault="00562961" w:rsidP="00562961">
      <w:pPr>
        <w:pStyle w:val="NoSpacing"/>
        <w:rPr>
          <w:color w:val="FF0000"/>
        </w:rPr>
      </w:pPr>
      <w:r w:rsidRPr="00996CE0">
        <w:rPr>
          <w:b/>
        </w:rPr>
        <w:t>a)</w:t>
      </w:r>
      <w:r w:rsidRPr="00831D1B">
        <w:tab/>
      </w:r>
      <w:r w:rsidR="00996CE0">
        <w:t xml:space="preserve"> Um er að ræða</w:t>
      </w:r>
      <w:r>
        <w:t xml:space="preserve"> allan kostnað, efni, vinnu og flutning vegna niðurrekstrar og uppdráttar sponsþils úr stáli, þ.m.t.: Uppsetning, færslur og niðurtekt  niðurrekstrar- og uppdráttarbúnaðar, skeyting o</w:t>
      </w:r>
      <w:r w:rsidR="00996CE0">
        <w:t xml:space="preserve">g skurður sponsþils í rétta hæð </w:t>
      </w:r>
      <w:r w:rsidR="00996CE0" w:rsidRPr="0082773A">
        <w:rPr>
          <w:i/>
          <w:color w:val="4F81BD" w:themeColor="accent1"/>
        </w:rPr>
        <w:t>[nánari lýsing]</w:t>
      </w:r>
    </w:p>
    <w:p w14:paraId="7748CB24" w14:textId="77777777" w:rsidR="00562961" w:rsidRDefault="00562961" w:rsidP="00562961">
      <w:pPr>
        <w:pStyle w:val="NoSpacing"/>
        <w:rPr>
          <w:b/>
          <w:bCs/>
          <w:i/>
          <w:iCs/>
          <w:color w:val="4F81BD" w:themeColor="accent1"/>
        </w:rPr>
      </w:pPr>
      <w:r w:rsidRPr="00996CE0">
        <w:rPr>
          <w:b/>
        </w:rPr>
        <w:t>c)</w:t>
      </w:r>
      <w:r w:rsidRPr="00996CE0">
        <w:rPr>
          <w:b/>
        </w:rPr>
        <w:tab/>
      </w:r>
      <w:r w:rsidRPr="003A50EC">
        <w:rPr>
          <w:i/>
          <w:color w:val="4F81BD" w:themeColor="accent1"/>
        </w:rPr>
        <w:t>[lýsing, tilv. í uppdrætti]</w:t>
      </w:r>
      <w:r>
        <w:rPr>
          <w:i/>
          <w:color w:val="4F81BD" w:themeColor="accent1"/>
        </w:rPr>
        <w:t>.</w:t>
      </w:r>
    </w:p>
    <w:p w14:paraId="7748CB25" w14:textId="77777777" w:rsidR="00562961" w:rsidRDefault="00562961" w:rsidP="00562961">
      <w:r w:rsidRPr="00996CE0">
        <w:rPr>
          <w:b/>
        </w:rPr>
        <w:t>f)</w:t>
      </w:r>
      <w:r w:rsidRPr="00831D1B">
        <w:tab/>
      </w:r>
      <w:r w:rsidRPr="00077A69">
        <w:t xml:space="preserve">Uppgjör miðast </w:t>
      </w:r>
      <w:r>
        <w:t xml:space="preserve">við </w:t>
      </w:r>
      <w:r w:rsidRPr="00E04E2A">
        <w:t xml:space="preserve">ósundurliðaða upphæð. </w:t>
      </w:r>
    </w:p>
    <w:p w14:paraId="7748CB26" w14:textId="77777777" w:rsidR="00562961" w:rsidRPr="007F5C04" w:rsidRDefault="00562961" w:rsidP="00562961">
      <w:r>
        <w:t>Mælieining:</w:t>
      </w:r>
      <w:r>
        <w:tab/>
        <w:t>HT</w:t>
      </w:r>
    </w:p>
    <w:p w14:paraId="7748CB27" w14:textId="77777777" w:rsidR="00642635" w:rsidRPr="002026BC" w:rsidRDefault="00642635" w:rsidP="00642635">
      <w:pPr>
        <w:pStyle w:val="Kaflafyrirsagnir"/>
      </w:pPr>
      <w:bookmarkStart w:id="4" w:name="_Toc533158730"/>
      <w:r>
        <w:t>83.611 Stálþil, niðurrekstur</w:t>
      </w:r>
      <w:bookmarkEnd w:id="4"/>
    </w:p>
    <w:p w14:paraId="7748CB28" w14:textId="77777777" w:rsidR="00642635" w:rsidRDefault="00642635" w:rsidP="00642635">
      <w:pPr>
        <w:pStyle w:val="NoSpacing"/>
        <w:rPr>
          <w:b/>
          <w:bCs/>
          <w:i/>
          <w:iCs/>
          <w:color w:val="4F81BD" w:themeColor="accent1"/>
        </w:rPr>
      </w:pPr>
      <w:r w:rsidRPr="00996CE0">
        <w:rPr>
          <w:b/>
        </w:rPr>
        <w:t>a)</w:t>
      </w:r>
      <w:r w:rsidRPr="00996CE0">
        <w:rPr>
          <w:b/>
        </w:rPr>
        <w:tab/>
      </w:r>
      <w:r w:rsidR="00996CE0">
        <w:t xml:space="preserve"> Um er að ræða</w:t>
      </w:r>
      <w:r>
        <w:t xml:space="preserve"> allan kostnað vegna vinnu og flutning</w:t>
      </w:r>
      <w:r w:rsidR="0043522E">
        <w:t>s</w:t>
      </w:r>
      <w:r>
        <w:t xml:space="preserve"> vegna niðurrekstrar sponsþils úr stáli þ.m.t.:  Uppsetning, færslur og niðurtekt niðurrekstrarbúnaðar, skeyting og skurður sponsþils í rétta hæð</w:t>
      </w:r>
      <w:r w:rsidR="00996CE0">
        <w:t xml:space="preserve"> </w:t>
      </w:r>
      <w:r w:rsidR="00996CE0" w:rsidRPr="0082773A">
        <w:rPr>
          <w:i/>
          <w:color w:val="4F81BD" w:themeColor="accent1"/>
        </w:rPr>
        <w:t>[nánari lýsing]</w:t>
      </w:r>
      <w:r>
        <w:cr/>
      </w:r>
      <w:r w:rsidRPr="00996CE0">
        <w:rPr>
          <w:b/>
        </w:rPr>
        <w:t>c)</w:t>
      </w:r>
      <w:r w:rsidRPr="00996CE0">
        <w:rPr>
          <w:b/>
        </w:rPr>
        <w:tab/>
      </w:r>
      <w:r w:rsidRPr="003A50EC">
        <w:rPr>
          <w:i/>
          <w:color w:val="4F81BD" w:themeColor="accent1"/>
        </w:rPr>
        <w:t>[lýsing, tilv. í uppdrætti]</w:t>
      </w:r>
      <w:r>
        <w:rPr>
          <w:i/>
          <w:color w:val="4F81BD" w:themeColor="accent1"/>
        </w:rPr>
        <w:t>.</w:t>
      </w:r>
    </w:p>
    <w:p w14:paraId="7748CB29" w14:textId="77777777" w:rsidR="00642635" w:rsidRDefault="00642635" w:rsidP="00642635">
      <w:r w:rsidRPr="00996CE0">
        <w:rPr>
          <w:b/>
        </w:rPr>
        <w:t>f)</w:t>
      </w:r>
      <w:r w:rsidRPr="00996CE0">
        <w:rPr>
          <w:b/>
        </w:rPr>
        <w:tab/>
      </w:r>
      <w:r>
        <w:t xml:space="preserve">Uppgjör miðast við lóðrétt flatarmál sponsþils í jarðvegi, skv. samþykktum </w:t>
      </w:r>
      <w:r w:rsidR="0043522E">
        <w:t xml:space="preserve">í </w:t>
      </w:r>
      <w:r>
        <w:t>niðurrekstrarskýrslum. Miðað er við ofanvarp á innri hlið sponsþils, þ.e. ekki er tekið tillit til óreglulegrar lögunar sponsþilseininga.</w:t>
      </w:r>
    </w:p>
    <w:p w14:paraId="7748CB2A" w14:textId="77777777" w:rsidR="00642635" w:rsidRPr="007F5C04" w:rsidRDefault="00642635" w:rsidP="00642635">
      <w:r>
        <w:t>Mælieining:</w:t>
      </w:r>
      <w:r>
        <w:tab/>
        <w:t>m</w:t>
      </w:r>
      <w:r w:rsidRPr="00562961">
        <w:rPr>
          <w:vertAlign w:val="superscript"/>
        </w:rPr>
        <w:t>2</w:t>
      </w:r>
    </w:p>
    <w:p w14:paraId="7748CB2B" w14:textId="77777777" w:rsidR="00642635" w:rsidRPr="002026BC" w:rsidRDefault="00642635" w:rsidP="00642635">
      <w:pPr>
        <w:pStyle w:val="Kaflafyrirsagnir"/>
      </w:pPr>
      <w:bookmarkStart w:id="5" w:name="_Toc533158731"/>
      <w:r>
        <w:lastRenderedPageBreak/>
        <w:t>83.612 Stálþil, efni</w:t>
      </w:r>
      <w:bookmarkEnd w:id="5"/>
    </w:p>
    <w:p w14:paraId="7748CB2C" w14:textId="77777777" w:rsidR="00642635" w:rsidRPr="00077A69" w:rsidRDefault="00642635" w:rsidP="00642635">
      <w:pPr>
        <w:pStyle w:val="NoSpacing"/>
        <w:rPr>
          <w:b/>
          <w:bCs/>
          <w:iCs/>
        </w:rPr>
      </w:pPr>
      <w:r w:rsidRPr="00996CE0">
        <w:rPr>
          <w:b/>
        </w:rPr>
        <w:t>a)</w:t>
      </w:r>
      <w:r w:rsidRPr="00996CE0">
        <w:rPr>
          <w:b/>
        </w:rPr>
        <w:tab/>
      </w:r>
      <w:r w:rsidR="00996CE0">
        <w:t xml:space="preserve"> Um er að ræða </w:t>
      </w:r>
      <w:r>
        <w:t xml:space="preserve"> allan efniskostnað sponsþils úr stáli ásamt flutningi þess á vinnustað  </w:t>
      </w:r>
      <w:r w:rsidR="00996CE0" w:rsidRPr="0082773A">
        <w:rPr>
          <w:i/>
          <w:color w:val="4F81BD" w:themeColor="accent1"/>
        </w:rPr>
        <w:t>[nánari lýsing]</w:t>
      </w:r>
    </w:p>
    <w:p w14:paraId="7748CB2D" w14:textId="77777777" w:rsidR="00642635" w:rsidRDefault="00642635" w:rsidP="00642635">
      <w:pPr>
        <w:pStyle w:val="NoSpacing"/>
        <w:rPr>
          <w:i/>
          <w:color w:val="4F81BD" w:themeColor="accent1"/>
        </w:rPr>
      </w:pPr>
      <w:r w:rsidRPr="00996CE0">
        <w:rPr>
          <w:b/>
        </w:rPr>
        <w:t>b)</w:t>
      </w:r>
      <w:r>
        <w:t xml:space="preserve">  Efniskröfur eru  </w:t>
      </w:r>
      <w:r>
        <w:rPr>
          <w:i/>
          <w:color w:val="4F81BD" w:themeColor="accent1"/>
        </w:rPr>
        <w:t>[lýsing</w:t>
      </w:r>
      <w:r w:rsidRPr="003A50EC">
        <w:rPr>
          <w:i/>
          <w:color w:val="4F81BD" w:themeColor="accent1"/>
        </w:rPr>
        <w:t>]</w:t>
      </w:r>
      <w:r>
        <w:rPr>
          <w:i/>
          <w:color w:val="4F81BD" w:themeColor="accent1"/>
        </w:rPr>
        <w:t>.</w:t>
      </w:r>
    </w:p>
    <w:p w14:paraId="7748CB2E" w14:textId="77777777" w:rsidR="00C75112" w:rsidRPr="00DE0745" w:rsidRDefault="00C75112" w:rsidP="00C75112">
      <w:r w:rsidRPr="00DE0745">
        <w:rPr>
          <w:u w:val="single"/>
        </w:rPr>
        <w:t>Sin</w:t>
      </w:r>
      <w:r>
        <w:rPr>
          <w:u w:val="single"/>
        </w:rPr>
        <w:t>khúðun stálþila</w:t>
      </w:r>
    </w:p>
    <w:p w14:paraId="7748CB2F" w14:textId="77777777" w:rsidR="00C75112" w:rsidRDefault="00C75112" w:rsidP="00C75112">
      <w:pPr>
        <w:rPr>
          <w:i/>
          <w:color w:val="4F81BD" w:themeColor="accent1"/>
        </w:rPr>
      </w:pPr>
      <w:r>
        <w:t xml:space="preserve">Lágmarksþykkt sinkhúðar skal vera </w:t>
      </w:r>
      <w:r w:rsidRPr="00472DA6">
        <w:rPr>
          <w:i/>
          <w:color w:val="4F81BD" w:themeColor="accent1"/>
        </w:rPr>
        <w:t>[lýsing komi hér]</w:t>
      </w:r>
    </w:p>
    <w:p w14:paraId="7748CB30" w14:textId="77777777" w:rsidR="00C75112" w:rsidRDefault="00C75112" w:rsidP="00C75112">
      <w:pPr>
        <w:rPr>
          <w:i/>
          <w:color w:val="4F81BD" w:themeColor="accent1"/>
        </w:rPr>
      </w:pPr>
      <w:r>
        <w:t xml:space="preserve">Meðalþykkt sinkhúðar skal vera  </w:t>
      </w:r>
      <w:r w:rsidRPr="00472DA6">
        <w:rPr>
          <w:i/>
          <w:color w:val="4F81BD" w:themeColor="accent1"/>
        </w:rPr>
        <w:t>[lýsing komi hér]</w:t>
      </w:r>
    </w:p>
    <w:p w14:paraId="7748CB31" w14:textId="77777777" w:rsidR="00C75112" w:rsidRPr="00DE0745" w:rsidRDefault="00C75112" w:rsidP="00C75112">
      <w:r w:rsidRPr="00DE0745">
        <w:rPr>
          <w:u w:val="single"/>
        </w:rPr>
        <w:t>Sinkhúðun á bolta og rær</w:t>
      </w:r>
    </w:p>
    <w:p w14:paraId="7748CB32" w14:textId="77777777" w:rsidR="00C75112" w:rsidRDefault="00C75112" w:rsidP="00C75112">
      <w:pPr>
        <w:rPr>
          <w:i/>
          <w:color w:val="4F81BD" w:themeColor="accent1"/>
        </w:rPr>
      </w:pPr>
      <w:r>
        <w:t xml:space="preserve">Lágmarksþykkt sinkhúðar skal vera </w:t>
      </w:r>
      <w:r w:rsidRPr="00472DA6">
        <w:rPr>
          <w:i/>
          <w:color w:val="4F81BD" w:themeColor="accent1"/>
        </w:rPr>
        <w:t>[lýsing komi hér]</w:t>
      </w:r>
    </w:p>
    <w:p w14:paraId="7748CB33" w14:textId="77777777" w:rsidR="00C75112" w:rsidRDefault="00C75112" w:rsidP="00C75112">
      <w:pPr>
        <w:rPr>
          <w:i/>
          <w:color w:val="4F81BD" w:themeColor="accent1"/>
        </w:rPr>
      </w:pPr>
      <w:r>
        <w:t xml:space="preserve">Meðalþykkt sinkhúðar skal vera </w:t>
      </w:r>
      <w:r w:rsidRPr="00472DA6">
        <w:rPr>
          <w:i/>
          <w:color w:val="4F81BD" w:themeColor="accent1"/>
        </w:rPr>
        <w:t>[lýsing komi hér]</w:t>
      </w:r>
    </w:p>
    <w:p w14:paraId="7748CB34" w14:textId="77777777" w:rsidR="00642635" w:rsidRDefault="00642635" w:rsidP="00642635">
      <w:r w:rsidRPr="00996CE0">
        <w:rPr>
          <w:b/>
        </w:rPr>
        <w:t>f)</w:t>
      </w:r>
      <w:r w:rsidRPr="00996CE0">
        <w:rPr>
          <w:b/>
        </w:rPr>
        <w:tab/>
      </w:r>
      <w:r>
        <w:t xml:space="preserve">Uppgjör miðast við flatarmál sponsþils skv. </w:t>
      </w:r>
      <w:r w:rsidR="00E843C5">
        <w:t>á</w:t>
      </w:r>
      <w:r>
        <w:t>ætlun</w:t>
      </w:r>
      <w:r w:rsidR="0043522E">
        <w:t>.</w:t>
      </w:r>
      <w:r>
        <w:t xml:space="preserve"> Miðað er við ofanvarp á innri hlið sponsþils, þ.e. ekki er tekið tillit til óreglulegrar lögunar sponsþilseininga.</w:t>
      </w:r>
    </w:p>
    <w:p w14:paraId="7748CB35" w14:textId="77777777" w:rsidR="00642635" w:rsidRPr="007F5C04" w:rsidRDefault="00642635" w:rsidP="00642635">
      <w:r>
        <w:t>Mælieining:</w:t>
      </w:r>
      <w:r>
        <w:tab/>
        <w:t>m</w:t>
      </w:r>
      <w:r w:rsidRPr="00562961">
        <w:rPr>
          <w:vertAlign w:val="superscript"/>
        </w:rPr>
        <w:t>2</w:t>
      </w:r>
    </w:p>
    <w:p w14:paraId="7748CB36" w14:textId="77777777" w:rsidR="00642635" w:rsidRPr="002026BC" w:rsidRDefault="00642635" w:rsidP="00642635">
      <w:pPr>
        <w:pStyle w:val="Kaflafyrirsagnir"/>
      </w:pPr>
      <w:bookmarkStart w:id="6" w:name="_Toc533158732"/>
      <w:r>
        <w:t>83.61</w:t>
      </w:r>
      <w:r w:rsidR="008C06BB">
        <w:t>3</w:t>
      </w:r>
      <w:r>
        <w:t xml:space="preserve"> Stálþil, </w:t>
      </w:r>
      <w:r w:rsidR="0025537C">
        <w:t>uppdráttur</w:t>
      </w:r>
      <w:bookmarkEnd w:id="6"/>
    </w:p>
    <w:p w14:paraId="7748CB37" w14:textId="77777777" w:rsidR="00996CE0" w:rsidRDefault="00642635" w:rsidP="00642635">
      <w:pPr>
        <w:pStyle w:val="NoSpacing"/>
        <w:rPr>
          <w:i/>
          <w:color w:val="4F81BD" w:themeColor="accent1"/>
        </w:rPr>
      </w:pPr>
      <w:r w:rsidRPr="005562DA">
        <w:rPr>
          <w:b/>
        </w:rPr>
        <w:t>a)</w:t>
      </w:r>
      <w:r w:rsidRPr="005562DA">
        <w:rPr>
          <w:b/>
        </w:rPr>
        <w:tab/>
      </w:r>
      <w:r w:rsidR="00996CE0">
        <w:t xml:space="preserve"> Um er að ræða </w:t>
      </w:r>
      <w:r>
        <w:t xml:space="preserve"> allan kostnað, efni, vinnu og flutning vegna uppdráttar sponsþils úr stáli, þ.m.t.:  Uppsetning, færslur og niðurtekt uppdráttarbúnaðar</w:t>
      </w:r>
      <w:r w:rsidR="00996CE0">
        <w:t xml:space="preserve"> </w:t>
      </w:r>
      <w:r w:rsidR="00996CE0" w:rsidRPr="0082773A">
        <w:rPr>
          <w:i/>
          <w:color w:val="4F81BD" w:themeColor="accent1"/>
        </w:rPr>
        <w:t>[nánari lýsing]</w:t>
      </w:r>
    </w:p>
    <w:p w14:paraId="7748CB38" w14:textId="77777777" w:rsidR="00642635" w:rsidRDefault="00642635" w:rsidP="00642635">
      <w:pPr>
        <w:pStyle w:val="NoSpacing"/>
        <w:rPr>
          <w:b/>
          <w:bCs/>
          <w:i/>
          <w:iCs/>
          <w:color w:val="4F81BD" w:themeColor="accent1"/>
        </w:rPr>
      </w:pPr>
      <w:r w:rsidRPr="005562DA">
        <w:rPr>
          <w:b/>
        </w:rPr>
        <w:t>c)</w:t>
      </w:r>
      <w:r>
        <w:tab/>
      </w:r>
      <w:r w:rsidRPr="003A50EC">
        <w:rPr>
          <w:i/>
          <w:color w:val="4F81BD" w:themeColor="accent1"/>
        </w:rPr>
        <w:t>[lýsing]</w:t>
      </w:r>
      <w:r w:rsidR="004237B6">
        <w:rPr>
          <w:i/>
          <w:color w:val="4F81BD" w:themeColor="accent1"/>
        </w:rPr>
        <w:t xml:space="preserve"> </w:t>
      </w:r>
    </w:p>
    <w:p w14:paraId="7748CB39" w14:textId="77777777" w:rsidR="00642635" w:rsidRDefault="00642635" w:rsidP="0025537C">
      <w:r w:rsidRPr="005562DA">
        <w:rPr>
          <w:b/>
        </w:rPr>
        <w:t>f)</w:t>
      </w:r>
      <w:r w:rsidRPr="00831D1B">
        <w:tab/>
      </w:r>
      <w:r w:rsidR="0025537C">
        <w:t>Uppgjör miðast við lóðrétt flatarmál sponsþils í jarðvegi</w:t>
      </w:r>
      <w:r w:rsidR="0043522E">
        <w:t>,</w:t>
      </w:r>
      <w:r w:rsidR="0025537C">
        <w:t xml:space="preserve"> reiknað skv. samþykktum </w:t>
      </w:r>
      <w:r w:rsidR="0043522E">
        <w:t xml:space="preserve">í </w:t>
      </w:r>
      <w:r w:rsidR="0025537C">
        <w:t>niðurrekstrarskýrslum. Miðað er við ofanvarp á innri hlið sponsþils, þ.e. ekki er tekið tillit til óreglulegrar lögunar sponsþilseininga.</w:t>
      </w:r>
    </w:p>
    <w:p w14:paraId="7748CB3A" w14:textId="77777777" w:rsidR="00642635" w:rsidRPr="007F5C04" w:rsidRDefault="00642635" w:rsidP="00642635">
      <w:r>
        <w:t>Mælieining:</w:t>
      </w:r>
      <w:r>
        <w:tab/>
        <w:t>m</w:t>
      </w:r>
      <w:r w:rsidRPr="00562961">
        <w:rPr>
          <w:vertAlign w:val="superscript"/>
        </w:rPr>
        <w:t>2</w:t>
      </w:r>
    </w:p>
    <w:p w14:paraId="7748CB3B" w14:textId="77777777" w:rsidR="004237B6" w:rsidRPr="002026BC" w:rsidRDefault="004237B6" w:rsidP="004237B6">
      <w:pPr>
        <w:pStyle w:val="Kaflafyrirsagnir"/>
      </w:pPr>
      <w:bookmarkStart w:id="7" w:name="_Toc533158733"/>
      <w:r>
        <w:t>83</w:t>
      </w:r>
      <w:r w:rsidR="0083291C">
        <w:t>.62</w:t>
      </w:r>
      <w:r>
        <w:t xml:space="preserve"> </w:t>
      </w:r>
      <w:r w:rsidR="008E4E64">
        <w:t>Timburþil</w:t>
      </w:r>
      <w:r>
        <w:t>, niðurrekstur og uppdráttur</w:t>
      </w:r>
      <w:bookmarkEnd w:id="7"/>
    </w:p>
    <w:p w14:paraId="7748CB3C" w14:textId="77777777" w:rsidR="004237B6" w:rsidRDefault="004237B6" w:rsidP="008E4E64">
      <w:pPr>
        <w:pStyle w:val="NoSpacing"/>
        <w:rPr>
          <w:color w:val="FF0000"/>
        </w:rPr>
      </w:pPr>
      <w:r w:rsidRPr="005562DA">
        <w:rPr>
          <w:b/>
        </w:rPr>
        <w:t>a)</w:t>
      </w:r>
      <w:r w:rsidRPr="00831D1B">
        <w:tab/>
      </w:r>
      <w:r w:rsidR="00996CE0">
        <w:t xml:space="preserve"> Um er að ræða </w:t>
      </w:r>
      <w:r w:rsidR="008E4E64">
        <w:t xml:space="preserve"> allan kostnað, efni, vinnu og flutning vegna niðurrekstrar og uppdráttar sponsþils úr timbri, þ.m.t.: Uppsetning, færslur og niðurtekt</w:t>
      </w:r>
      <w:r w:rsidR="00996CE0">
        <w:t xml:space="preserve"> </w:t>
      </w:r>
      <w:r w:rsidR="008E4E64">
        <w:t>niðurrekstrar- og uppdráttarbúnaðar, skeyting o</w:t>
      </w:r>
      <w:r w:rsidR="00996CE0">
        <w:t xml:space="preserve">g skurður sponsþils í rétta hæð </w:t>
      </w:r>
      <w:r w:rsidR="00996CE0" w:rsidRPr="0082773A">
        <w:rPr>
          <w:i/>
          <w:color w:val="4F81BD" w:themeColor="accent1"/>
        </w:rPr>
        <w:t>[nánari lýsing]</w:t>
      </w:r>
    </w:p>
    <w:p w14:paraId="7748CB3D" w14:textId="77777777" w:rsidR="0083291C" w:rsidRPr="0083291C" w:rsidRDefault="0083291C" w:rsidP="0083291C">
      <w:pPr>
        <w:rPr>
          <w:i/>
          <w:color w:val="4F81BD" w:themeColor="accent1"/>
        </w:rPr>
      </w:pPr>
      <w:r w:rsidRPr="005562DA">
        <w:rPr>
          <w:b/>
        </w:rPr>
        <w:t>b)</w:t>
      </w:r>
      <w:r w:rsidRPr="00831D1B">
        <w:tab/>
      </w:r>
      <w:r>
        <w:t xml:space="preserve">Gerð, lengd og styrkur </w:t>
      </w:r>
      <w:r w:rsidRPr="00472DA6">
        <w:t xml:space="preserve">skal vera  </w:t>
      </w:r>
      <w:r>
        <w:t xml:space="preserve"> </w:t>
      </w:r>
      <w:r w:rsidRPr="00472DA6">
        <w:rPr>
          <w:i/>
          <w:color w:val="4F81BD" w:themeColor="accent1"/>
        </w:rPr>
        <w:t>[lýsing komi hér]</w:t>
      </w:r>
    </w:p>
    <w:p w14:paraId="7748CB3E" w14:textId="77777777" w:rsidR="004237B6" w:rsidRDefault="004237B6" w:rsidP="004237B6">
      <w:pPr>
        <w:pStyle w:val="NoSpacing"/>
        <w:rPr>
          <w:b/>
          <w:bCs/>
          <w:i/>
          <w:iCs/>
          <w:color w:val="4F81BD" w:themeColor="accent1"/>
        </w:rPr>
      </w:pPr>
      <w:r w:rsidRPr="005562DA">
        <w:rPr>
          <w:b/>
        </w:rPr>
        <w:t>c)</w:t>
      </w:r>
      <w:r w:rsidRPr="005562DA">
        <w:rPr>
          <w:b/>
        </w:rPr>
        <w:tab/>
      </w:r>
      <w:r w:rsidRPr="003A50EC">
        <w:rPr>
          <w:i/>
          <w:color w:val="4F81BD" w:themeColor="accent1"/>
        </w:rPr>
        <w:t>[lýsing, tilv. í uppdrætti]</w:t>
      </w:r>
      <w:r>
        <w:rPr>
          <w:i/>
          <w:color w:val="4F81BD" w:themeColor="accent1"/>
        </w:rPr>
        <w:t>.</w:t>
      </w:r>
    </w:p>
    <w:p w14:paraId="7748CB3F" w14:textId="77777777" w:rsidR="004237B6" w:rsidRDefault="004237B6" w:rsidP="004237B6">
      <w:r w:rsidRPr="005562DA">
        <w:rPr>
          <w:b/>
        </w:rPr>
        <w:t>f)</w:t>
      </w:r>
      <w:r w:rsidRPr="00831D1B">
        <w:tab/>
      </w:r>
      <w:r w:rsidRPr="00077A69">
        <w:t xml:space="preserve">Uppgjör miðast </w:t>
      </w:r>
      <w:r>
        <w:t xml:space="preserve">við </w:t>
      </w:r>
      <w:r w:rsidRPr="00E04E2A">
        <w:t xml:space="preserve">ósundurliðaða upphæð. </w:t>
      </w:r>
    </w:p>
    <w:p w14:paraId="7748CB40" w14:textId="77777777" w:rsidR="004237B6" w:rsidRDefault="004237B6" w:rsidP="004237B6">
      <w:r>
        <w:t>Mælieining:</w:t>
      </w:r>
      <w:r>
        <w:tab/>
        <w:t>HT</w:t>
      </w:r>
    </w:p>
    <w:p w14:paraId="7748CB41" w14:textId="77777777" w:rsidR="0083291C" w:rsidRPr="002026BC" w:rsidRDefault="0083291C" w:rsidP="0083291C">
      <w:pPr>
        <w:pStyle w:val="Kaflafyrirsagnir"/>
      </w:pPr>
      <w:bookmarkStart w:id="8" w:name="_Toc533158734"/>
      <w:r>
        <w:t>83.621 Timburþil, niðurrekstur</w:t>
      </w:r>
      <w:bookmarkEnd w:id="8"/>
    </w:p>
    <w:p w14:paraId="7748CB42" w14:textId="77777777" w:rsidR="0083291C" w:rsidRPr="00077A69" w:rsidRDefault="0083291C" w:rsidP="0083291C">
      <w:pPr>
        <w:pStyle w:val="NoSpacing"/>
        <w:rPr>
          <w:b/>
          <w:bCs/>
          <w:iCs/>
        </w:rPr>
      </w:pPr>
      <w:r w:rsidRPr="005562DA">
        <w:rPr>
          <w:b/>
        </w:rPr>
        <w:t>a)</w:t>
      </w:r>
      <w:r w:rsidRPr="005562DA">
        <w:rPr>
          <w:b/>
        </w:rPr>
        <w:tab/>
      </w:r>
      <w:r w:rsidR="00996CE0">
        <w:t xml:space="preserve"> Um er að ræða </w:t>
      </w:r>
      <w:r>
        <w:t xml:space="preserve"> allan kostnað vegna vinnu og flutning</w:t>
      </w:r>
      <w:r w:rsidR="0043522E">
        <w:t>s</w:t>
      </w:r>
      <w:r>
        <w:t xml:space="preserve"> vegna niðurrekstrar sponsþils úr timbri, þ.m.t.:  Uppsetning, færslur og niðurtekt niðurrekstrarbúnaðar,</w:t>
      </w:r>
      <w:r w:rsidR="004D0C98">
        <w:t xml:space="preserve"> </w:t>
      </w:r>
      <w:r>
        <w:t>skeyting og skurður sponsþils í rétta hæð</w:t>
      </w:r>
      <w:r w:rsidR="00996CE0">
        <w:t xml:space="preserve"> </w:t>
      </w:r>
      <w:r w:rsidR="00996CE0" w:rsidRPr="0082773A">
        <w:rPr>
          <w:i/>
          <w:color w:val="4F81BD" w:themeColor="accent1"/>
        </w:rPr>
        <w:t>[nánari lýsing]</w:t>
      </w:r>
    </w:p>
    <w:p w14:paraId="7748CB43" w14:textId="77777777" w:rsidR="0083291C" w:rsidRDefault="0083291C" w:rsidP="0083291C">
      <w:pPr>
        <w:pStyle w:val="NoSpacing"/>
        <w:rPr>
          <w:b/>
          <w:bCs/>
          <w:i/>
          <w:iCs/>
          <w:color w:val="4F81BD" w:themeColor="accent1"/>
        </w:rPr>
      </w:pPr>
      <w:r w:rsidRPr="005562DA">
        <w:rPr>
          <w:b/>
        </w:rPr>
        <w:t>c)</w:t>
      </w:r>
      <w:r>
        <w:tab/>
      </w:r>
      <w:r w:rsidRPr="003A50EC">
        <w:rPr>
          <w:i/>
          <w:color w:val="4F81BD" w:themeColor="accent1"/>
        </w:rPr>
        <w:t>[lýsing, tilv. í uppdrætti]</w:t>
      </w:r>
    </w:p>
    <w:p w14:paraId="7748CB44" w14:textId="77777777" w:rsidR="0083291C" w:rsidRDefault="0083291C" w:rsidP="004D0C98">
      <w:r w:rsidRPr="005562DA">
        <w:rPr>
          <w:b/>
        </w:rPr>
        <w:t>f)</w:t>
      </w:r>
      <w:r w:rsidRPr="005562DA">
        <w:rPr>
          <w:b/>
        </w:rPr>
        <w:tab/>
      </w:r>
      <w:r w:rsidR="004D0C98">
        <w:t>Uppgjör miðast við lóðrétt flatarmál sponsþils í jarðvegi</w:t>
      </w:r>
      <w:r w:rsidR="0043522E">
        <w:t>,</w:t>
      </w:r>
      <w:r w:rsidR="004D0C98">
        <w:t xml:space="preserve"> reiknað skv.  samþykktum </w:t>
      </w:r>
      <w:r w:rsidR="0043522E">
        <w:t xml:space="preserve">í </w:t>
      </w:r>
      <w:r w:rsidR="004D0C98">
        <w:t>niðurrekstrarskýrslum. Miðað er við ofanvarp á innri hlið sponsþils.</w:t>
      </w:r>
    </w:p>
    <w:p w14:paraId="7748CB45" w14:textId="77777777" w:rsidR="0083291C" w:rsidRPr="007F5C04" w:rsidRDefault="0083291C" w:rsidP="0083291C">
      <w:r>
        <w:t>Mælieining:</w:t>
      </w:r>
      <w:r>
        <w:tab/>
        <w:t>m</w:t>
      </w:r>
      <w:r w:rsidRPr="00562961">
        <w:rPr>
          <w:vertAlign w:val="superscript"/>
        </w:rPr>
        <w:t>2</w:t>
      </w:r>
    </w:p>
    <w:p w14:paraId="7748CB46" w14:textId="77777777" w:rsidR="0083291C" w:rsidRPr="002026BC" w:rsidRDefault="0083291C" w:rsidP="0083291C">
      <w:pPr>
        <w:pStyle w:val="Kaflafyrirsagnir"/>
      </w:pPr>
      <w:bookmarkStart w:id="9" w:name="_Toc533158735"/>
      <w:r>
        <w:lastRenderedPageBreak/>
        <w:t>83.6</w:t>
      </w:r>
      <w:r w:rsidR="004D0C98">
        <w:t>2</w:t>
      </w:r>
      <w:r>
        <w:t xml:space="preserve">2 </w:t>
      </w:r>
      <w:r w:rsidR="004D0C98">
        <w:t>Timbur</w:t>
      </w:r>
      <w:r>
        <w:t>þil, efni</w:t>
      </w:r>
      <w:bookmarkEnd w:id="9"/>
    </w:p>
    <w:p w14:paraId="7748CB47" w14:textId="77777777" w:rsidR="0083291C" w:rsidRPr="00077A69" w:rsidRDefault="0083291C" w:rsidP="004D0C98">
      <w:pPr>
        <w:pStyle w:val="NoSpacing"/>
        <w:rPr>
          <w:b/>
          <w:bCs/>
          <w:iCs/>
        </w:rPr>
      </w:pPr>
      <w:r w:rsidRPr="005562DA">
        <w:rPr>
          <w:b/>
        </w:rPr>
        <w:t>a)</w:t>
      </w:r>
      <w:r w:rsidRPr="00831D1B">
        <w:tab/>
      </w:r>
      <w:r w:rsidR="00996CE0">
        <w:t xml:space="preserve"> Um er að ræða </w:t>
      </w:r>
      <w:r w:rsidR="004D0C98">
        <w:t xml:space="preserve"> allan efniskostnað sponsþils úr timbri ásamt flutningi þess á vinnustað</w:t>
      </w:r>
      <w:r w:rsidR="00996CE0">
        <w:t xml:space="preserve"> </w:t>
      </w:r>
      <w:r w:rsidR="00996CE0" w:rsidRPr="0082773A">
        <w:rPr>
          <w:i/>
          <w:color w:val="4F81BD" w:themeColor="accent1"/>
        </w:rPr>
        <w:t>[nánari lýsing]</w:t>
      </w:r>
    </w:p>
    <w:p w14:paraId="7748CB48" w14:textId="77777777" w:rsidR="0083291C" w:rsidRDefault="0083291C" w:rsidP="0083291C">
      <w:pPr>
        <w:pStyle w:val="NoSpacing"/>
        <w:rPr>
          <w:b/>
          <w:bCs/>
          <w:i/>
          <w:iCs/>
          <w:color w:val="4F81BD" w:themeColor="accent1"/>
        </w:rPr>
      </w:pPr>
      <w:r w:rsidRPr="005562DA">
        <w:rPr>
          <w:b/>
        </w:rPr>
        <w:t xml:space="preserve">b) </w:t>
      </w:r>
      <w:r>
        <w:t xml:space="preserve"> Efniskröfur eru  </w:t>
      </w:r>
      <w:r>
        <w:rPr>
          <w:i/>
          <w:color w:val="4F81BD" w:themeColor="accent1"/>
        </w:rPr>
        <w:t>[lýsing</w:t>
      </w:r>
      <w:r w:rsidRPr="003A50EC">
        <w:rPr>
          <w:i/>
          <w:color w:val="4F81BD" w:themeColor="accent1"/>
        </w:rPr>
        <w:t>]</w:t>
      </w:r>
      <w:r>
        <w:rPr>
          <w:i/>
          <w:color w:val="4F81BD" w:themeColor="accent1"/>
        </w:rPr>
        <w:t>.</w:t>
      </w:r>
    </w:p>
    <w:p w14:paraId="7748CB49" w14:textId="77777777" w:rsidR="0083291C" w:rsidRDefault="0083291C" w:rsidP="004D0C98">
      <w:r w:rsidRPr="005562DA">
        <w:rPr>
          <w:b/>
        </w:rPr>
        <w:t>f)</w:t>
      </w:r>
      <w:r w:rsidRPr="00831D1B">
        <w:tab/>
      </w:r>
      <w:r w:rsidR="004D0C98">
        <w:t>Uppgjör miðast við flatarmál sponsþils skv. áætlun. Miðað er við ofanvarp á innri hlið sponsþils.</w:t>
      </w:r>
    </w:p>
    <w:p w14:paraId="7748CB4A" w14:textId="77777777" w:rsidR="0083291C" w:rsidRPr="007F5C04" w:rsidRDefault="0083291C" w:rsidP="0083291C">
      <w:r>
        <w:t>Mælieining:</w:t>
      </w:r>
      <w:r>
        <w:tab/>
        <w:t>m</w:t>
      </w:r>
      <w:r w:rsidRPr="00562961">
        <w:rPr>
          <w:vertAlign w:val="superscript"/>
        </w:rPr>
        <w:t>2</w:t>
      </w:r>
    </w:p>
    <w:p w14:paraId="7748CB4B" w14:textId="77777777" w:rsidR="0083291C" w:rsidRPr="002026BC" w:rsidRDefault="0083291C" w:rsidP="0083291C">
      <w:pPr>
        <w:pStyle w:val="Kaflafyrirsagnir"/>
      </w:pPr>
      <w:bookmarkStart w:id="10" w:name="_Toc533158736"/>
      <w:r>
        <w:t>83</w:t>
      </w:r>
      <w:r w:rsidR="004D0C98">
        <w:t>.62</w:t>
      </w:r>
      <w:r w:rsidR="008C06BB">
        <w:t>3</w:t>
      </w:r>
      <w:r>
        <w:t xml:space="preserve"> </w:t>
      </w:r>
      <w:r w:rsidR="004D0C98">
        <w:t>Timbur</w:t>
      </w:r>
      <w:r>
        <w:t>þil, uppdráttur</w:t>
      </w:r>
      <w:bookmarkEnd w:id="10"/>
    </w:p>
    <w:p w14:paraId="7748CB4C" w14:textId="77777777" w:rsidR="0083291C" w:rsidRPr="00077A69" w:rsidRDefault="0083291C" w:rsidP="0083291C">
      <w:pPr>
        <w:pStyle w:val="NoSpacing"/>
        <w:rPr>
          <w:b/>
          <w:bCs/>
          <w:iCs/>
        </w:rPr>
      </w:pPr>
      <w:r w:rsidRPr="005562DA">
        <w:rPr>
          <w:b/>
        </w:rPr>
        <w:t>a)</w:t>
      </w:r>
      <w:r w:rsidRPr="00831D1B">
        <w:tab/>
      </w:r>
      <w:r w:rsidR="00996CE0">
        <w:t xml:space="preserve"> Um er að ræða </w:t>
      </w:r>
      <w:r w:rsidR="004D0C98">
        <w:t xml:space="preserve"> allan kostnað, efni, vinnu og flutning vegna uppdráttar sponsþils úr timbri, þ.m.t.: Uppsetning, færslur og niðurtekt uppdráttarbúnaðar</w:t>
      </w:r>
      <w:r w:rsidR="00996CE0">
        <w:t xml:space="preserve"> </w:t>
      </w:r>
      <w:r w:rsidR="00996CE0" w:rsidRPr="0082773A">
        <w:rPr>
          <w:i/>
          <w:color w:val="4F81BD" w:themeColor="accent1"/>
        </w:rPr>
        <w:t>[nánari lýsing]</w:t>
      </w:r>
    </w:p>
    <w:p w14:paraId="7748CB4D" w14:textId="77777777" w:rsidR="0083291C" w:rsidRDefault="0083291C" w:rsidP="0083291C">
      <w:pPr>
        <w:pStyle w:val="NoSpacing"/>
        <w:rPr>
          <w:b/>
          <w:bCs/>
          <w:i/>
          <w:iCs/>
          <w:color w:val="4F81BD" w:themeColor="accent1"/>
        </w:rPr>
      </w:pPr>
      <w:r w:rsidRPr="005562DA">
        <w:rPr>
          <w:b/>
        </w:rPr>
        <w:t>c)</w:t>
      </w:r>
      <w:r>
        <w:tab/>
      </w:r>
      <w:r w:rsidRPr="003A50EC">
        <w:rPr>
          <w:i/>
          <w:color w:val="4F81BD" w:themeColor="accent1"/>
        </w:rPr>
        <w:t>[lýsing]</w:t>
      </w:r>
      <w:r>
        <w:rPr>
          <w:i/>
          <w:color w:val="4F81BD" w:themeColor="accent1"/>
        </w:rPr>
        <w:t xml:space="preserve"> </w:t>
      </w:r>
    </w:p>
    <w:p w14:paraId="7748CB4E" w14:textId="77777777" w:rsidR="0083291C" w:rsidRPr="007F5C04" w:rsidRDefault="0083291C" w:rsidP="0083291C">
      <w:r w:rsidRPr="005562DA">
        <w:rPr>
          <w:b/>
        </w:rPr>
        <w:t>f)</w:t>
      </w:r>
      <w:r w:rsidRPr="00831D1B">
        <w:tab/>
      </w:r>
      <w:r w:rsidR="004D0C98">
        <w:t>Uppgjör miðast við lóðrétt flatarmál sponsþils í jarðvegi</w:t>
      </w:r>
      <w:r w:rsidR="0043522E">
        <w:t>,</w:t>
      </w:r>
      <w:r w:rsidR="004D0C98">
        <w:t xml:space="preserve"> reiknað skv. samþykktum </w:t>
      </w:r>
      <w:r w:rsidR="0043522E">
        <w:t xml:space="preserve">í </w:t>
      </w:r>
      <w:r w:rsidR="004D0C98">
        <w:t>niðurrekstrarskýrslum. Miðað er við ofanvarp á innri hlið sponsþils.</w:t>
      </w:r>
      <w:r w:rsidR="004D0C98">
        <w:cr/>
      </w:r>
      <w:r>
        <w:t>Mælieining:</w:t>
      </w:r>
      <w:r>
        <w:tab/>
        <w:t>m</w:t>
      </w:r>
      <w:r w:rsidRPr="00562961">
        <w:rPr>
          <w:vertAlign w:val="superscript"/>
        </w:rPr>
        <w:t>2</w:t>
      </w:r>
    </w:p>
    <w:p w14:paraId="7748CB4F" w14:textId="77777777" w:rsidR="00240582" w:rsidRDefault="00240582" w:rsidP="00240582">
      <w:pPr>
        <w:pStyle w:val="abcflokkar"/>
        <w:tabs>
          <w:tab w:val="left" w:pos="851"/>
          <w:tab w:val="left" w:pos="6622"/>
        </w:tabs>
        <w:rPr>
          <w:color w:val="auto"/>
          <w:sz w:val="24"/>
          <w:szCs w:val="24"/>
        </w:rPr>
      </w:pPr>
    </w:p>
    <w:sectPr w:rsidR="0024058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8CB52" w14:textId="77777777" w:rsidR="00C31F86" w:rsidRDefault="00C31F86" w:rsidP="005B28DC">
      <w:r>
        <w:separator/>
      </w:r>
    </w:p>
  </w:endnote>
  <w:endnote w:type="continuationSeparator" w:id="0">
    <w:p w14:paraId="7748CB53" w14:textId="77777777" w:rsidR="00C31F86" w:rsidRDefault="00C31F86" w:rsidP="005B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017E" w14:textId="77777777" w:rsidR="00BD3FE4" w:rsidRDefault="00BD3F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CB55" w14:textId="77777777" w:rsidR="008B0DB0" w:rsidRDefault="008B0DB0">
    <w:pPr>
      <w:pStyle w:val="Footer"/>
      <w:jc w:val="center"/>
    </w:pPr>
  </w:p>
  <w:p w14:paraId="7748CB56" w14:textId="77777777" w:rsidR="005B28DC" w:rsidRDefault="005B28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3FA3F" w14:textId="77777777" w:rsidR="00BD3FE4" w:rsidRDefault="00BD3F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CB50" w14:textId="77777777" w:rsidR="00C31F86" w:rsidRDefault="00C31F86" w:rsidP="005B28DC">
      <w:r>
        <w:separator/>
      </w:r>
    </w:p>
  </w:footnote>
  <w:footnote w:type="continuationSeparator" w:id="0">
    <w:p w14:paraId="7748CB51" w14:textId="77777777" w:rsidR="00C31F86" w:rsidRDefault="00C31F86" w:rsidP="005B2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15AF" w14:textId="77777777" w:rsidR="00BD3FE4" w:rsidRDefault="00BD3F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CB54" w14:textId="77777777" w:rsidR="008B0DB0" w:rsidRDefault="008B0DB0">
    <w:pPr>
      <w:pStyle w:val="Header"/>
    </w:pPr>
    <w:r>
      <w:t>Vegagerðin</w:t>
    </w:r>
    <w:r>
      <w:ptab w:relativeTo="margin" w:alignment="center" w:leader="none"/>
    </w:r>
    <w:r>
      <w:t xml:space="preserve">Verklýsing - </w:t>
    </w:r>
    <w:r w:rsidR="00E12103">
      <w:t>sniðmát</w:t>
    </w:r>
    <w:r w:rsidR="00E12103">
      <w:ptab w:relativeTo="margin" w:alignment="right" w:leader="none"/>
    </w:r>
    <w:r w:rsidR="00E12103">
      <w:t>2</w:t>
    </w:r>
    <w:r w:rsidR="008F6A57">
      <w:t>1</w:t>
    </w:r>
    <w:r w:rsidR="00270783">
      <w:t>.</w:t>
    </w:r>
    <w:r w:rsidR="008F6A57">
      <w:t>03.2019</w:t>
    </w:r>
  </w:p>
  <w:p w14:paraId="161531FF" w14:textId="3B5855EA" w:rsidR="00BD3FE4" w:rsidRDefault="00BD3FE4" w:rsidP="00BD3FE4">
    <w:pPr>
      <w:pStyle w:val="Header"/>
      <w:jc w:val="center"/>
    </w:pPr>
    <w:r>
      <w:t>SNI-3401</w:t>
    </w:r>
    <w:r>
      <w:t>, 83.6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DFF1F" w14:textId="77777777" w:rsidR="00BD3FE4" w:rsidRDefault="00BD3F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E4B94"/>
    <w:multiLevelType w:val="hybridMultilevel"/>
    <w:tmpl w:val="1E6C6E7C"/>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 w15:restartNumberingAfterBreak="0">
    <w:nsid w:val="57257232"/>
    <w:multiLevelType w:val="hybridMultilevel"/>
    <w:tmpl w:val="7C66EB00"/>
    <w:lvl w:ilvl="0" w:tplc="04090017">
      <w:start w:val="1"/>
      <w:numFmt w:val="lowerLetter"/>
      <w:lvlText w:val="%1)"/>
      <w:lvlJc w:val="left"/>
      <w:pPr>
        <w:ind w:left="1440" w:hanging="360"/>
      </w:pPr>
    </w:lvl>
    <w:lvl w:ilvl="1" w:tplc="040F0019">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2" w15:restartNumberingAfterBreak="0">
    <w:nsid w:val="6A15029C"/>
    <w:multiLevelType w:val="hybridMultilevel"/>
    <w:tmpl w:val="67721292"/>
    <w:lvl w:ilvl="0" w:tplc="040F000B">
      <w:numFmt w:val="bullet"/>
      <w:lvlText w:val=""/>
      <w:lvlJc w:val="left"/>
      <w:pPr>
        <w:ind w:left="720" w:hanging="360"/>
      </w:pPr>
      <w:rPr>
        <w:rFonts w:ascii="Wingdings" w:eastAsia="Times New Roman" w:hAnsi="Wingdings"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16cid:durableId="664817883">
    <w:abstractNumId w:val="1"/>
  </w:num>
  <w:num w:numId="2" w16cid:durableId="1483153336">
    <w:abstractNumId w:val="0"/>
  </w:num>
  <w:num w:numId="3" w16cid:durableId="521018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EA"/>
    <w:rsid w:val="000024FE"/>
    <w:rsid w:val="000161C2"/>
    <w:rsid w:val="00022237"/>
    <w:rsid w:val="00022870"/>
    <w:rsid w:val="00023674"/>
    <w:rsid w:val="00031111"/>
    <w:rsid w:val="00036545"/>
    <w:rsid w:val="00046D0F"/>
    <w:rsid w:val="00057F6D"/>
    <w:rsid w:val="0007043D"/>
    <w:rsid w:val="00077A69"/>
    <w:rsid w:val="000A004C"/>
    <w:rsid w:val="000A3A7D"/>
    <w:rsid w:val="000B40B1"/>
    <w:rsid w:val="000B7FAC"/>
    <w:rsid w:val="000C3F14"/>
    <w:rsid w:val="000E144B"/>
    <w:rsid w:val="000F158D"/>
    <w:rsid w:val="001145FB"/>
    <w:rsid w:val="00126B40"/>
    <w:rsid w:val="00126F32"/>
    <w:rsid w:val="00135457"/>
    <w:rsid w:val="00145575"/>
    <w:rsid w:val="001664A5"/>
    <w:rsid w:val="001668D2"/>
    <w:rsid w:val="001714CA"/>
    <w:rsid w:val="00173F0B"/>
    <w:rsid w:val="0019062D"/>
    <w:rsid w:val="001917F8"/>
    <w:rsid w:val="001926DE"/>
    <w:rsid w:val="001C2A54"/>
    <w:rsid w:val="00201B62"/>
    <w:rsid w:val="002026BC"/>
    <w:rsid w:val="002331FB"/>
    <w:rsid w:val="00235848"/>
    <w:rsid w:val="00240582"/>
    <w:rsid w:val="00245F06"/>
    <w:rsid w:val="0025499D"/>
    <w:rsid w:val="0025537C"/>
    <w:rsid w:val="0026377F"/>
    <w:rsid w:val="0026403E"/>
    <w:rsid w:val="00270783"/>
    <w:rsid w:val="002715CB"/>
    <w:rsid w:val="00271A12"/>
    <w:rsid w:val="00271C3E"/>
    <w:rsid w:val="002E0CF7"/>
    <w:rsid w:val="002E3A9A"/>
    <w:rsid w:val="002E76AA"/>
    <w:rsid w:val="0031009D"/>
    <w:rsid w:val="003260A9"/>
    <w:rsid w:val="0035071B"/>
    <w:rsid w:val="0035498C"/>
    <w:rsid w:val="00387841"/>
    <w:rsid w:val="00387BC7"/>
    <w:rsid w:val="00393D1A"/>
    <w:rsid w:val="003A50EC"/>
    <w:rsid w:val="003C15D1"/>
    <w:rsid w:val="003C38BF"/>
    <w:rsid w:val="003C60F3"/>
    <w:rsid w:val="003D3F3A"/>
    <w:rsid w:val="003E2A79"/>
    <w:rsid w:val="003F28F8"/>
    <w:rsid w:val="003F7950"/>
    <w:rsid w:val="004120D7"/>
    <w:rsid w:val="00420A85"/>
    <w:rsid w:val="004237B6"/>
    <w:rsid w:val="00431C33"/>
    <w:rsid w:val="004326BC"/>
    <w:rsid w:val="0043522E"/>
    <w:rsid w:val="0043568B"/>
    <w:rsid w:val="00454C6A"/>
    <w:rsid w:val="0046145C"/>
    <w:rsid w:val="00472DA6"/>
    <w:rsid w:val="004A256B"/>
    <w:rsid w:val="004A3BAD"/>
    <w:rsid w:val="004B3990"/>
    <w:rsid w:val="004D0C98"/>
    <w:rsid w:val="004E7444"/>
    <w:rsid w:val="004F2C0B"/>
    <w:rsid w:val="004F7D40"/>
    <w:rsid w:val="005031C4"/>
    <w:rsid w:val="00512862"/>
    <w:rsid w:val="00533D3B"/>
    <w:rsid w:val="005562DA"/>
    <w:rsid w:val="00562961"/>
    <w:rsid w:val="005A0E00"/>
    <w:rsid w:val="005A1DE8"/>
    <w:rsid w:val="005B28DC"/>
    <w:rsid w:val="005C03BC"/>
    <w:rsid w:val="005D14EF"/>
    <w:rsid w:val="005D5DED"/>
    <w:rsid w:val="005F4B5C"/>
    <w:rsid w:val="005F6F3C"/>
    <w:rsid w:val="006017A5"/>
    <w:rsid w:val="0060456D"/>
    <w:rsid w:val="00611EAB"/>
    <w:rsid w:val="006168E2"/>
    <w:rsid w:val="00642635"/>
    <w:rsid w:val="0066496B"/>
    <w:rsid w:val="006A5154"/>
    <w:rsid w:val="006C2624"/>
    <w:rsid w:val="006D01F5"/>
    <w:rsid w:val="006E4BE0"/>
    <w:rsid w:val="00707CF6"/>
    <w:rsid w:val="00711E74"/>
    <w:rsid w:val="00716697"/>
    <w:rsid w:val="0072357B"/>
    <w:rsid w:val="00741FA5"/>
    <w:rsid w:val="007602E0"/>
    <w:rsid w:val="00793F6F"/>
    <w:rsid w:val="00794718"/>
    <w:rsid w:val="007A1B0C"/>
    <w:rsid w:val="007B562E"/>
    <w:rsid w:val="007C3590"/>
    <w:rsid w:val="007D174A"/>
    <w:rsid w:val="007F04C2"/>
    <w:rsid w:val="007F5C04"/>
    <w:rsid w:val="00810A03"/>
    <w:rsid w:val="008207EA"/>
    <w:rsid w:val="00831D1B"/>
    <w:rsid w:val="0083291C"/>
    <w:rsid w:val="00835C18"/>
    <w:rsid w:val="00840C24"/>
    <w:rsid w:val="008507E2"/>
    <w:rsid w:val="00874F2F"/>
    <w:rsid w:val="00877AC8"/>
    <w:rsid w:val="008959AA"/>
    <w:rsid w:val="00897BD8"/>
    <w:rsid w:val="008B0DB0"/>
    <w:rsid w:val="008B61F2"/>
    <w:rsid w:val="008B75CA"/>
    <w:rsid w:val="008C06BB"/>
    <w:rsid w:val="008C4212"/>
    <w:rsid w:val="008E4E64"/>
    <w:rsid w:val="008E766B"/>
    <w:rsid w:val="008F414A"/>
    <w:rsid w:val="008F6A57"/>
    <w:rsid w:val="00957BC2"/>
    <w:rsid w:val="00960925"/>
    <w:rsid w:val="009645D8"/>
    <w:rsid w:val="00982B8F"/>
    <w:rsid w:val="00996CE0"/>
    <w:rsid w:val="009C6016"/>
    <w:rsid w:val="009D0FBF"/>
    <w:rsid w:val="009D5B28"/>
    <w:rsid w:val="00A1683D"/>
    <w:rsid w:val="00A16B49"/>
    <w:rsid w:val="00A31A6B"/>
    <w:rsid w:val="00A34CE5"/>
    <w:rsid w:val="00A35456"/>
    <w:rsid w:val="00A44494"/>
    <w:rsid w:val="00A60521"/>
    <w:rsid w:val="00A756BE"/>
    <w:rsid w:val="00A81C00"/>
    <w:rsid w:val="00A849B9"/>
    <w:rsid w:val="00A93D05"/>
    <w:rsid w:val="00AC1591"/>
    <w:rsid w:val="00B0275D"/>
    <w:rsid w:val="00B12621"/>
    <w:rsid w:val="00B151FD"/>
    <w:rsid w:val="00B17689"/>
    <w:rsid w:val="00B200D5"/>
    <w:rsid w:val="00B301E0"/>
    <w:rsid w:val="00B31FC4"/>
    <w:rsid w:val="00B511A7"/>
    <w:rsid w:val="00B85A68"/>
    <w:rsid w:val="00B97DF6"/>
    <w:rsid w:val="00BD3FE4"/>
    <w:rsid w:val="00BE1F07"/>
    <w:rsid w:val="00C26B23"/>
    <w:rsid w:val="00C30E00"/>
    <w:rsid w:val="00C30E6D"/>
    <w:rsid w:val="00C31F86"/>
    <w:rsid w:val="00C51C4B"/>
    <w:rsid w:val="00C54BDB"/>
    <w:rsid w:val="00C73C64"/>
    <w:rsid w:val="00C75112"/>
    <w:rsid w:val="00C82289"/>
    <w:rsid w:val="00C91C69"/>
    <w:rsid w:val="00CA6C24"/>
    <w:rsid w:val="00CA7E5B"/>
    <w:rsid w:val="00CC5B7A"/>
    <w:rsid w:val="00CD656E"/>
    <w:rsid w:val="00CD7B2C"/>
    <w:rsid w:val="00CE2E5D"/>
    <w:rsid w:val="00D05DC8"/>
    <w:rsid w:val="00D27597"/>
    <w:rsid w:val="00D43DCA"/>
    <w:rsid w:val="00D56934"/>
    <w:rsid w:val="00D66C43"/>
    <w:rsid w:val="00D70309"/>
    <w:rsid w:val="00D70E32"/>
    <w:rsid w:val="00D7208D"/>
    <w:rsid w:val="00D73D43"/>
    <w:rsid w:val="00D75C81"/>
    <w:rsid w:val="00D9717F"/>
    <w:rsid w:val="00DB01C5"/>
    <w:rsid w:val="00DB56C8"/>
    <w:rsid w:val="00DC1D09"/>
    <w:rsid w:val="00DC3AA5"/>
    <w:rsid w:val="00DD45B9"/>
    <w:rsid w:val="00DD48F8"/>
    <w:rsid w:val="00DE0745"/>
    <w:rsid w:val="00E04E2A"/>
    <w:rsid w:val="00E12103"/>
    <w:rsid w:val="00E207CA"/>
    <w:rsid w:val="00E2183D"/>
    <w:rsid w:val="00E23E7A"/>
    <w:rsid w:val="00E2572E"/>
    <w:rsid w:val="00E5086E"/>
    <w:rsid w:val="00E55C08"/>
    <w:rsid w:val="00E60FB5"/>
    <w:rsid w:val="00E62954"/>
    <w:rsid w:val="00E71AEA"/>
    <w:rsid w:val="00E843C5"/>
    <w:rsid w:val="00E84E0C"/>
    <w:rsid w:val="00EA0799"/>
    <w:rsid w:val="00ED0CD1"/>
    <w:rsid w:val="00ED68C9"/>
    <w:rsid w:val="00EE0471"/>
    <w:rsid w:val="00EE639F"/>
    <w:rsid w:val="00EE65FD"/>
    <w:rsid w:val="00EF08E5"/>
    <w:rsid w:val="00EF7607"/>
    <w:rsid w:val="00F007F4"/>
    <w:rsid w:val="00F32EA3"/>
    <w:rsid w:val="00F42318"/>
    <w:rsid w:val="00F47032"/>
    <w:rsid w:val="00F77902"/>
    <w:rsid w:val="00F80AB2"/>
    <w:rsid w:val="00F90AB5"/>
    <w:rsid w:val="00F918BB"/>
    <w:rsid w:val="00F96C59"/>
    <w:rsid w:val="00FA6B36"/>
    <w:rsid w:val="00FD357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48CAF4"/>
  <w15:docId w15:val="{761DA4BF-AEDD-44CE-80B3-FE2E461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2026BC"/>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16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207E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207E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8207EA"/>
    <w:pPr>
      <w:spacing w:line="240" w:lineRule="atLeast"/>
      <w:jc w:val="both"/>
    </w:pPr>
    <w:rPr>
      <w:color w:val="000000"/>
      <w:sz w:val="20"/>
      <w:szCs w:val="20"/>
    </w:rPr>
  </w:style>
  <w:style w:type="paragraph" w:customStyle="1" w:styleId="Kaflafyrirsagnir">
    <w:name w:val="Kaflafyrirsagnir"/>
    <w:basedOn w:val="Heading1"/>
    <w:next w:val="Normal"/>
    <w:link w:val="KaflafyrirsagnirChar"/>
    <w:qFormat/>
    <w:rsid w:val="002026BC"/>
    <w:pPr>
      <w:tabs>
        <w:tab w:val="left" w:pos="567"/>
      </w:tabs>
      <w:spacing w:before="170" w:after="57"/>
      <w:ind w:left="709" w:right="40" w:hanging="709"/>
      <w:jc w:val="both"/>
    </w:pPr>
    <w:rPr>
      <w:rFonts w:ascii="Times" w:eastAsia="Times New Roman" w:hAnsi="Times" w:cs="Arial"/>
      <w:noProof/>
      <w:color w:val="auto"/>
      <w:kern w:val="32"/>
      <w:sz w:val="24"/>
      <w:szCs w:val="32"/>
      <w:lang w:eastAsia="is-IS"/>
    </w:rPr>
  </w:style>
  <w:style w:type="character" w:customStyle="1" w:styleId="abcflokkarChar">
    <w:name w:val="abc flokkar Char"/>
    <w:link w:val="abcflokkar"/>
    <w:rsid w:val="008207EA"/>
    <w:rPr>
      <w:rFonts w:ascii="Times New Roman" w:eastAsia="Times New Roman" w:hAnsi="Times New Roman" w:cs="Times New Roman"/>
      <w:color w:val="000000"/>
      <w:sz w:val="20"/>
      <w:szCs w:val="20"/>
    </w:rPr>
  </w:style>
  <w:style w:type="character" w:customStyle="1" w:styleId="KaflafyrirsagnirChar">
    <w:name w:val="Kaflafyrirsagnir Char"/>
    <w:link w:val="Kaflafyrirsagnir"/>
    <w:rsid w:val="002026BC"/>
    <w:rPr>
      <w:rFonts w:ascii="Times" w:eastAsia="Times New Roman" w:hAnsi="Times" w:cs="Arial"/>
      <w:b/>
      <w:bCs/>
      <w:noProof/>
      <w:kern w:val="32"/>
      <w:sz w:val="24"/>
      <w:szCs w:val="32"/>
      <w:lang w:eastAsia="is-IS"/>
    </w:rPr>
  </w:style>
  <w:style w:type="paragraph" w:customStyle="1" w:styleId="abctafla">
    <w:name w:val="abc tafla"/>
    <w:basedOn w:val="abcflokkar"/>
    <w:next w:val="abcflokkar"/>
    <w:rsid w:val="008207EA"/>
    <w:pPr>
      <w:spacing w:after="0" w:line="240" w:lineRule="auto"/>
    </w:pPr>
    <w:rPr>
      <w:color w:val="auto"/>
    </w:rPr>
  </w:style>
  <w:style w:type="paragraph" w:customStyle="1" w:styleId="Li-fyrirsagnir">
    <w:name w:val="Lið-fyrirsagnir"/>
    <w:basedOn w:val="Heading5"/>
    <w:next w:val="Normal"/>
    <w:link w:val="Li-fyrirsagnirChar"/>
    <w:qFormat/>
    <w:rsid w:val="002026BC"/>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Heading3Char">
    <w:name w:val="Heading 3 Char"/>
    <w:basedOn w:val="DefaultParagraphFont"/>
    <w:link w:val="Heading3"/>
    <w:uiPriority w:val="9"/>
    <w:semiHidden/>
    <w:rsid w:val="008207E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8207EA"/>
    <w:rPr>
      <w:rFonts w:asciiTheme="majorHAnsi" w:eastAsiaTheme="majorEastAsia" w:hAnsiTheme="majorHAnsi" w:cstheme="majorBidi"/>
      <w:color w:val="243F60" w:themeColor="accent1" w:themeShade="7F"/>
      <w:sz w:val="24"/>
      <w:szCs w:val="24"/>
    </w:rPr>
  </w:style>
  <w:style w:type="character" w:customStyle="1" w:styleId="Li-fyrirsagnirChar">
    <w:name w:val="Lið-fyrirsagnir Char"/>
    <w:basedOn w:val="DefaultParagraphFont"/>
    <w:link w:val="Li-fyrirsagnir"/>
    <w:rsid w:val="002026BC"/>
    <w:rPr>
      <w:rFonts w:ascii="Times New Roman" w:eastAsia="Times New Roman" w:hAnsi="Times New Roman" w:cs="Times New Roman"/>
      <w:b/>
      <w:bCs/>
      <w:iCs/>
      <w:sz w:val="24"/>
      <w:szCs w:val="26"/>
    </w:rPr>
  </w:style>
  <w:style w:type="character" w:customStyle="1" w:styleId="Heading1Char">
    <w:name w:val="Heading 1 Char"/>
    <w:basedOn w:val="DefaultParagraphFont"/>
    <w:link w:val="Heading1"/>
    <w:rsid w:val="001668D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668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8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7"/>
    <w:rPr>
      <w:rFonts w:ascii="Segoe UI" w:eastAsia="Times New Roman" w:hAnsi="Segoe UI" w:cs="Segoe UI"/>
      <w:sz w:val="18"/>
      <w:szCs w:val="18"/>
    </w:rPr>
  </w:style>
  <w:style w:type="character" w:styleId="Strong">
    <w:name w:val="Strong"/>
    <w:basedOn w:val="DefaultParagraphFont"/>
    <w:uiPriority w:val="22"/>
    <w:qFormat/>
    <w:rsid w:val="007F5C04"/>
    <w:rPr>
      <w:b/>
      <w:bCs/>
    </w:rPr>
  </w:style>
  <w:style w:type="paragraph" w:styleId="Header">
    <w:name w:val="header"/>
    <w:basedOn w:val="Normal"/>
    <w:link w:val="HeaderChar"/>
    <w:uiPriority w:val="99"/>
    <w:unhideWhenUsed/>
    <w:rsid w:val="005B28DC"/>
    <w:pPr>
      <w:tabs>
        <w:tab w:val="center" w:pos="4536"/>
        <w:tab w:val="right" w:pos="9072"/>
      </w:tabs>
    </w:pPr>
  </w:style>
  <w:style w:type="character" w:customStyle="1" w:styleId="HeaderChar">
    <w:name w:val="Header Char"/>
    <w:basedOn w:val="DefaultParagraphFont"/>
    <w:link w:val="Header"/>
    <w:uiPriority w:val="99"/>
    <w:rsid w:val="005B28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28DC"/>
    <w:pPr>
      <w:tabs>
        <w:tab w:val="center" w:pos="4536"/>
        <w:tab w:val="right" w:pos="9072"/>
      </w:tabs>
    </w:pPr>
  </w:style>
  <w:style w:type="character" w:customStyle="1" w:styleId="FooterChar">
    <w:name w:val="Footer Char"/>
    <w:basedOn w:val="DefaultParagraphFont"/>
    <w:link w:val="Footer"/>
    <w:uiPriority w:val="99"/>
    <w:rsid w:val="005B28DC"/>
    <w:rPr>
      <w:rFonts w:ascii="Times New Roman" w:eastAsia="Times New Roman" w:hAnsi="Times New Roman" w:cs="Times New Roman"/>
      <w:sz w:val="24"/>
      <w:szCs w:val="24"/>
    </w:rPr>
  </w:style>
  <w:style w:type="table" w:styleId="TableGrid">
    <w:name w:val="Table Grid"/>
    <w:basedOn w:val="TableNormal"/>
    <w:uiPriority w:val="59"/>
    <w:rsid w:val="008B7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verkþáttur"/>
    <w:uiPriority w:val="1"/>
    <w:qFormat/>
    <w:rsid w:val="002026BC"/>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2026BC"/>
    <w:pPr>
      <w:tabs>
        <w:tab w:val="clear" w:pos="1134"/>
      </w:tabs>
      <w:spacing w:before="240" w:after="0" w:line="259" w:lineRule="auto"/>
      <w:ind w:left="0"/>
      <w:outlineLvl w:val="9"/>
    </w:pPr>
    <w:rPr>
      <w:b w:val="0"/>
      <w:bCs w:val="0"/>
      <w:sz w:val="32"/>
      <w:szCs w:val="32"/>
      <w:lang w:val="en-US"/>
    </w:rPr>
  </w:style>
  <w:style w:type="paragraph" w:styleId="TOC1">
    <w:name w:val="toc 1"/>
    <w:basedOn w:val="Normal"/>
    <w:next w:val="Normal"/>
    <w:autoRedefine/>
    <w:uiPriority w:val="39"/>
    <w:unhideWhenUsed/>
    <w:rsid w:val="002026BC"/>
    <w:pPr>
      <w:tabs>
        <w:tab w:val="clear" w:pos="1134"/>
      </w:tabs>
      <w:spacing w:after="100"/>
      <w:ind w:left="0"/>
    </w:pPr>
  </w:style>
  <w:style w:type="character" w:styleId="Hyperlink">
    <w:name w:val="Hyperlink"/>
    <w:basedOn w:val="DefaultParagraphFont"/>
    <w:uiPriority w:val="99"/>
    <w:unhideWhenUsed/>
    <w:rsid w:val="002026BC"/>
    <w:rPr>
      <w:color w:val="0000FF" w:themeColor="hyperlink"/>
      <w:u w:val="single"/>
    </w:rPr>
  </w:style>
  <w:style w:type="paragraph" w:styleId="Revision">
    <w:name w:val="Revision"/>
    <w:hidden/>
    <w:uiPriority w:val="99"/>
    <w:semiHidden/>
    <w:rsid w:val="00BD3FE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5199">
      <w:bodyDiv w:val="1"/>
      <w:marLeft w:val="0"/>
      <w:marRight w:val="0"/>
      <w:marTop w:val="0"/>
      <w:marBottom w:val="0"/>
      <w:divBdr>
        <w:top w:val="none" w:sz="0" w:space="0" w:color="auto"/>
        <w:left w:val="none" w:sz="0" w:space="0" w:color="auto"/>
        <w:bottom w:val="none" w:sz="0" w:space="0" w:color="auto"/>
        <w:right w:val="none" w:sz="0" w:space="0" w:color="auto"/>
      </w:divBdr>
      <w:divsChild>
        <w:div w:id="834688376">
          <w:marLeft w:val="0"/>
          <w:marRight w:val="0"/>
          <w:marTop w:val="0"/>
          <w:marBottom w:val="0"/>
          <w:divBdr>
            <w:top w:val="none" w:sz="0" w:space="0" w:color="auto"/>
            <w:left w:val="none" w:sz="0" w:space="0" w:color="auto"/>
            <w:bottom w:val="none" w:sz="0" w:space="0" w:color="auto"/>
            <w:right w:val="none" w:sz="0" w:space="0" w:color="auto"/>
          </w:divBdr>
        </w:div>
        <w:div w:id="1952976735">
          <w:marLeft w:val="0"/>
          <w:marRight w:val="0"/>
          <w:marTop w:val="0"/>
          <w:marBottom w:val="0"/>
          <w:divBdr>
            <w:top w:val="none" w:sz="0" w:space="0" w:color="auto"/>
            <w:left w:val="none" w:sz="0" w:space="0" w:color="auto"/>
            <w:bottom w:val="none" w:sz="0" w:space="0" w:color="auto"/>
            <w:right w:val="none" w:sz="0" w:space="0" w:color="auto"/>
          </w:divBdr>
        </w:div>
        <w:div w:id="1060597789">
          <w:marLeft w:val="0"/>
          <w:marRight w:val="0"/>
          <w:marTop w:val="0"/>
          <w:marBottom w:val="0"/>
          <w:divBdr>
            <w:top w:val="none" w:sz="0" w:space="0" w:color="auto"/>
            <w:left w:val="none" w:sz="0" w:space="0" w:color="auto"/>
            <w:bottom w:val="none" w:sz="0" w:space="0" w:color="auto"/>
            <w:right w:val="none" w:sz="0" w:space="0" w:color="auto"/>
          </w:divBdr>
        </w:div>
        <w:div w:id="1102872232">
          <w:marLeft w:val="0"/>
          <w:marRight w:val="0"/>
          <w:marTop w:val="0"/>
          <w:marBottom w:val="0"/>
          <w:divBdr>
            <w:top w:val="none" w:sz="0" w:space="0" w:color="auto"/>
            <w:left w:val="none" w:sz="0" w:space="0" w:color="auto"/>
            <w:bottom w:val="none" w:sz="0" w:space="0" w:color="auto"/>
            <w:right w:val="none" w:sz="0" w:space="0" w:color="auto"/>
          </w:divBdr>
        </w:div>
      </w:divsChild>
    </w:div>
    <w:div w:id="753014282">
      <w:bodyDiv w:val="1"/>
      <w:marLeft w:val="0"/>
      <w:marRight w:val="0"/>
      <w:marTop w:val="0"/>
      <w:marBottom w:val="0"/>
      <w:divBdr>
        <w:top w:val="none" w:sz="0" w:space="0" w:color="auto"/>
        <w:left w:val="none" w:sz="0" w:space="0" w:color="auto"/>
        <w:bottom w:val="none" w:sz="0" w:space="0" w:color="auto"/>
        <w:right w:val="none" w:sz="0" w:space="0" w:color="auto"/>
      </w:divBdr>
      <w:divsChild>
        <w:div w:id="865561259">
          <w:marLeft w:val="0"/>
          <w:marRight w:val="0"/>
          <w:marTop w:val="0"/>
          <w:marBottom w:val="0"/>
          <w:divBdr>
            <w:top w:val="none" w:sz="0" w:space="0" w:color="auto"/>
            <w:left w:val="none" w:sz="0" w:space="0" w:color="auto"/>
            <w:bottom w:val="none" w:sz="0" w:space="0" w:color="auto"/>
            <w:right w:val="none" w:sz="0" w:space="0" w:color="auto"/>
          </w:divBdr>
        </w:div>
        <w:div w:id="1182469827">
          <w:marLeft w:val="0"/>
          <w:marRight w:val="0"/>
          <w:marTop w:val="0"/>
          <w:marBottom w:val="0"/>
          <w:divBdr>
            <w:top w:val="none" w:sz="0" w:space="0" w:color="auto"/>
            <w:left w:val="none" w:sz="0" w:space="0" w:color="auto"/>
            <w:bottom w:val="none" w:sz="0" w:space="0" w:color="auto"/>
            <w:right w:val="none" w:sz="0" w:space="0" w:color="auto"/>
          </w:divBdr>
        </w:div>
        <w:div w:id="1273053341">
          <w:marLeft w:val="0"/>
          <w:marRight w:val="0"/>
          <w:marTop w:val="0"/>
          <w:marBottom w:val="0"/>
          <w:divBdr>
            <w:top w:val="none" w:sz="0" w:space="0" w:color="auto"/>
            <w:left w:val="none" w:sz="0" w:space="0" w:color="auto"/>
            <w:bottom w:val="none" w:sz="0" w:space="0" w:color="auto"/>
            <w:right w:val="none" w:sz="0" w:space="0" w:color="auto"/>
          </w:divBdr>
        </w:div>
        <w:div w:id="1615476200">
          <w:marLeft w:val="0"/>
          <w:marRight w:val="0"/>
          <w:marTop w:val="0"/>
          <w:marBottom w:val="0"/>
          <w:divBdr>
            <w:top w:val="none" w:sz="0" w:space="0" w:color="auto"/>
            <w:left w:val="none" w:sz="0" w:space="0" w:color="auto"/>
            <w:bottom w:val="none" w:sz="0" w:space="0" w:color="auto"/>
            <w:right w:val="none" w:sz="0" w:space="0" w:color="auto"/>
          </w:divBdr>
        </w:div>
      </w:divsChild>
    </w:div>
    <w:div w:id="170285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79C8D-EF4C-4662-A5B1-73957158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964</Words>
  <Characters>5499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Gísli Gíslason</dc:creator>
  <cp:lastModifiedBy>Björgvin Brynjólfsson - VG</cp:lastModifiedBy>
  <cp:revision>6</cp:revision>
  <cp:lastPrinted>2016-03-31T09:27:00Z</cp:lastPrinted>
  <dcterms:created xsi:type="dcterms:W3CDTF">2018-11-26T10:14:00Z</dcterms:created>
  <dcterms:modified xsi:type="dcterms:W3CDTF">2023-05-02T15:29:00Z</dcterms:modified>
</cp:coreProperties>
</file>