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4871285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8A25041" w14:textId="77777777" w:rsidR="00E51371" w:rsidRPr="00E51371" w:rsidRDefault="00E51371">
          <w:pPr>
            <w:pStyle w:val="TOCHeading"/>
            <w:rPr>
              <w:b/>
              <w:color w:val="auto"/>
            </w:rPr>
          </w:pPr>
          <w:r w:rsidRPr="00E51371">
            <w:rPr>
              <w:b/>
              <w:color w:val="auto"/>
            </w:rPr>
            <w:t>Efnisyfirlit</w:t>
          </w:r>
        </w:p>
        <w:p w14:paraId="45ED9146" w14:textId="77777777" w:rsidR="002E777F" w:rsidRDefault="00E51371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05245" w:history="1">
            <w:r w:rsidR="002E777F" w:rsidRPr="008008B7">
              <w:rPr>
                <w:rStyle w:val="Hyperlink"/>
                <w:noProof/>
              </w:rPr>
              <w:t>Aðrar fyllingar – Almenn lýsing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_Toc7005245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1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45EB0518" w14:textId="77777777" w:rsidR="002E777F" w:rsidRDefault="006318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246" w:history="1">
            <w:r w:rsidR="002E777F" w:rsidRPr="008008B7">
              <w:rPr>
                <w:rStyle w:val="Hyperlink"/>
                <w:noProof/>
              </w:rPr>
              <w:t>34.1 Fláafleygar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_Toc7005246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2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642F3B50" w14:textId="77777777" w:rsidR="002E777F" w:rsidRDefault="006318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247" w:history="1">
            <w:r w:rsidR="002E777F" w:rsidRPr="008008B7">
              <w:rPr>
                <w:rStyle w:val="Hyperlink"/>
                <w:noProof/>
              </w:rPr>
              <w:t>34.11 Fláafleygar, efni úr skeringum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_Toc7005247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2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030364DA" w14:textId="77777777" w:rsidR="002E777F" w:rsidRDefault="006318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248" w:history="1">
            <w:r w:rsidR="002E777F" w:rsidRPr="008008B7">
              <w:rPr>
                <w:rStyle w:val="Hyperlink"/>
                <w:noProof/>
              </w:rPr>
              <w:t>34.12 Fláafleygar, efni úr námum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_Toc7005248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2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3440AB2E" w14:textId="77777777" w:rsidR="002E777F" w:rsidRDefault="006318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249" w:history="1">
            <w:r w:rsidR="002E777F" w:rsidRPr="008008B7">
              <w:rPr>
                <w:rStyle w:val="Hyperlink"/>
                <w:noProof/>
              </w:rPr>
              <w:t>34.2 Fyllingarefni í hljóðdeyfigarða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_Toc7005249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2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2FF3CF18" w14:textId="77777777" w:rsidR="002E777F" w:rsidRDefault="006318CA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7005250" w:history="1">
            <w:r w:rsidR="002E777F" w:rsidRPr="008008B7">
              <w:rPr>
                <w:rStyle w:val="Hyperlink"/>
                <w:noProof/>
              </w:rPr>
              <w:t>34.8 Ónothæfu efni jafnað á losunarstað</w:t>
            </w:r>
            <w:r w:rsidR="002E777F">
              <w:rPr>
                <w:noProof/>
                <w:webHidden/>
              </w:rPr>
              <w:tab/>
            </w:r>
            <w:r w:rsidR="002E777F">
              <w:rPr>
                <w:noProof/>
                <w:webHidden/>
              </w:rPr>
              <w:fldChar w:fldCharType="begin"/>
            </w:r>
            <w:r w:rsidR="002E777F">
              <w:rPr>
                <w:noProof/>
                <w:webHidden/>
              </w:rPr>
              <w:instrText xml:space="preserve"> PAGEREF _Toc7005250 \h </w:instrText>
            </w:r>
            <w:r w:rsidR="002E777F">
              <w:rPr>
                <w:noProof/>
                <w:webHidden/>
              </w:rPr>
            </w:r>
            <w:r w:rsidR="002E777F">
              <w:rPr>
                <w:noProof/>
                <w:webHidden/>
              </w:rPr>
              <w:fldChar w:fldCharType="separate"/>
            </w:r>
            <w:r w:rsidR="002E777F">
              <w:rPr>
                <w:noProof/>
                <w:webHidden/>
              </w:rPr>
              <w:t>2</w:t>
            </w:r>
            <w:r w:rsidR="002E777F">
              <w:rPr>
                <w:noProof/>
                <w:webHidden/>
              </w:rPr>
              <w:fldChar w:fldCharType="end"/>
            </w:r>
          </w:hyperlink>
        </w:p>
        <w:p w14:paraId="375C8BDC" w14:textId="77777777" w:rsidR="00E51371" w:rsidRDefault="00E51371">
          <w:r>
            <w:rPr>
              <w:b/>
              <w:bCs/>
              <w:noProof/>
            </w:rPr>
            <w:fldChar w:fldCharType="end"/>
          </w:r>
        </w:p>
      </w:sdtContent>
    </w:sdt>
    <w:p w14:paraId="746E3CFA" w14:textId="77777777" w:rsidR="007273A8" w:rsidRPr="00540A60" w:rsidRDefault="007273A8" w:rsidP="00540A60">
      <w:pPr>
        <w:pStyle w:val="Kaflafyrirsagnir"/>
      </w:pPr>
      <w:bookmarkStart w:id="0" w:name="_Toc7005245"/>
      <w:r w:rsidRPr="00540A60">
        <w:t xml:space="preserve">Aðrar fyllingar </w:t>
      </w:r>
      <w:r w:rsidR="008D45A9">
        <w:t>– Almenn lýsing</w:t>
      </w:r>
      <w:bookmarkEnd w:id="0"/>
    </w:p>
    <w:p w14:paraId="44263CA7" w14:textId="77777777" w:rsidR="007273A8" w:rsidRPr="00E51371" w:rsidRDefault="007273A8" w:rsidP="00E51371">
      <w:pPr>
        <w:pStyle w:val="Li-fyrirsagnir"/>
      </w:pPr>
      <w:r w:rsidRPr="00E51371">
        <w:t>a)</w:t>
      </w:r>
      <w:r w:rsidRPr="00E51371">
        <w:tab/>
        <w:t>Verksvið</w:t>
      </w:r>
    </w:p>
    <w:p w14:paraId="09F1B9FF" w14:textId="77777777" w:rsidR="007273A8" w:rsidRPr="00DF09DF" w:rsidRDefault="007273A8" w:rsidP="007273A8">
      <w:pPr>
        <w:pStyle w:val="abcflokkar"/>
        <w:tabs>
          <w:tab w:val="left" w:pos="266"/>
        </w:tabs>
        <w:rPr>
          <w:sz w:val="24"/>
          <w:szCs w:val="24"/>
        </w:rPr>
      </w:pPr>
      <w:r w:rsidRPr="00DF09DF">
        <w:rPr>
          <w:sz w:val="24"/>
          <w:szCs w:val="24"/>
        </w:rPr>
        <w:t>Verksviðið er gerð fyllingar</w:t>
      </w:r>
      <w:r>
        <w:rPr>
          <w:sz w:val="24"/>
          <w:szCs w:val="24"/>
        </w:rPr>
        <w:t>, annarra en vegfyllingar</w:t>
      </w:r>
      <w:r w:rsidRPr="00DF09DF">
        <w:rPr>
          <w:sz w:val="24"/>
          <w:szCs w:val="24"/>
        </w:rPr>
        <w:t xml:space="preserve">. Innifalið er nauðsynlegur undirbúningur undirstöðu, þ.m.t. </w:t>
      </w:r>
      <w:proofErr w:type="spellStart"/>
      <w:r w:rsidRPr="00DF09DF">
        <w:rPr>
          <w:sz w:val="24"/>
          <w:szCs w:val="24"/>
        </w:rPr>
        <w:t>stöllun</w:t>
      </w:r>
      <w:proofErr w:type="spellEnd"/>
      <w:r w:rsidRPr="00DF09DF">
        <w:rPr>
          <w:sz w:val="24"/>
          <w:szCs w:val="24"/>
        </w:rPr>
        <w:t xml:space="preserve">, losun efnis (nema ef um er að ræða berg), </w:t>
      </w:r>
      <w:proofErr w:type="spellStart"/>
      <w:r w:rsidRPr="00DF09DF">
        <w:rPr>
          <w:sz w:val="24"/>
          <w:szCs w:val="24"/>
        </w:rPr>
        <w:t>ofanýtingu</w:t>
      </w:r>
      <w:proofErr w:type="spellEnd"/>
      <w:r w:rsidRPr="00DF09DF">
        <w:rPr>
          <w:sz w:val="24"/>
          <w:szCs w:val="24"/>
        </w:rPr>
        <w:t xml:space="preserve">, </w:t>
      </w:r>
      <w:proofErr w:type="spellStart"/>
      <w:r w:rsidRPr="00DF09DF">
        <w:rPr>
          <w:sz w:val="24"/>
          <w:szCs w:val="24"/>
        </w:rPr>
        <w:t>afstífingu</w:t>
      </w:r>
      <w:proofErr w:type="spellEnd"/>
      <w:r w:rsidRPr="00DF09DF">
        <w:rPr>
          <w:sz w:val="24"/>
          <w:szCs w:val="24"/>
        </w:rPr>
        <w:t xml:space="preserve">, styrkingu og yfirbyggingu, vatnsvarnir, haugsetningu, ámokstur og flutning efnis, útlögn, þjöppun, þurrkun og vökvun. </w:t>
      </w:r>
    </w:p>
    <w:p w14:paraId="1979319F" w14:textId="77777777" w:rsidR="007273A8" w:rsidRPr="00540A60" w:rsidRDefault="007273A8" w:rsidP="00540A60">
      <w:pPr>
        <w:pStyle w:val="Li-fyrirsagnir"/>
      </w:pPr>
      <w:bookmarkStart w:id="1" w:name="_Toc178406379"/>
      <w:r w:rsidRPr="00540A60">
        <w:t>b)</w:t>
      </w:r>
      <w:r w:rsidRPr="00540A60">
        <w:tab/>
        <w:t>Efniskröfur</w:t>
      </w:r>
      <w:bookmarkEnd w:id="1"/>
    </w:p>
    <w:p w14:paraId="59716D43" w14:textId="77777777" w:rsidR="007273A8" w:rsidRPr="00DF09DF" w:rsidRDefault="007273A8" w:rsidP="00540A60">
      <w:pPr>
        <w:rPr>
          <w:noProof/>
        </w:rPr>
      </w:pPr>
      <w:r w:rsidRPr="00DF09DF">
        <w:rPr>
          <w:noProof/>
        </w:rPr>
        <w:t>Efnið skal ekki vera  mosi, hrís, torf eða stórgrýti og það má ekki innihalda snjó eða ísklumpa.</w:t>
      </w:r>
    </w:p>
    <w:p w14:paraId="6F798EA2" w14:textId="77777777" w:rsidR="007273A8" w:rsidRPr="00540A60" w:rsidRDefault="007273A8" w:rsidP="00540A60">
      <w:pPr>
        <w:pStyle w:val="Li-fyrirsagnir"/>
      </w:pPr>
      <w:bookmarkStart w:id="2" w:name="_Toc178406380"/>
      <w:r w:rsidRPr="00540A60">
        <w:t>c)</w:t>
      </w:r>
      <w:r w:rsidRPr="00540A60">
        <w:tab/>
        <w:t>Vinnugæði</w:t>
      </w:r>
      <w:bookmarkEnd w:id="2"/>
    </w:p>
    <w:p w14:paraId="2561E140" w14:textId="77777777" w:rsidR="007273A8" w:rsidRDefault="007273A8" w:rsidP="00540A60">
      <w:pPr>
        <w:rPr>
          <w:noProof/>
        </w:rPr>
      </w:pPr>
      <w:r w:rsidRPr="00DF09DF">
        <w:rPr>
          <w:noProof/>
        </w:rPr>
        <w:t xml:space="preserve">Efnið skal leggja þannig út að sem mest þjöppun náist og ekki verði um missig af völdum eftirþjöppunar að ræða. </w:t>
      </w:r>
    </w:p>
    <w:p w14:paraId="370B2C97" w14:textId="77777777" w:rsidR="007273A8" w:rsidRPr="00DF09DF" w:rsidRDefault="007273A8" w:rsidP="00540A60">
      <w:pPr>
        <w:rPr>
          <w:noProof/>
        </w:rPr>
      </w:pPr>
      <w:r>
        <w:rPr>
          <w:noProof/>
        </w:rPr>
        <w:t>Þar sem breyting verður á halla vegfláa skal hún framkvæmd þannig að að hornið milli flálínunnar og láréttrar línu breytist jafnt á 20 m lengd vegarins.</w:t>
      </w:r>
    </w:p>
    <w:p w14:paraId="42BA7C9D" w14:textId="77777777" w:rsidR="007273A8" w:rsidRPr="00DF09DF" w:rsidRDefault="007273A8" w:rsidP="00540A60">
      <w:pPr>
        <w:rPr>
          <w:noProof/>
        </w:rPr>
      </w:pPr>
      <w:r w:rsidRPr="00DF09DF">
        <w:rPr>
          <w:noProof/>
        </w:rPr>
        <w:t>Ef efni glatast</w:t>
      </w:r>
      <w:r w:rsidRPr="00DF09DF">
        <w:rPr>
          <w:b/>
          <w:noProof/>
        </w:rPr>
        <w:t xml:space="preserve"> </w:t>
      </w:r>
      <w:r w:rsidRPr="00DF09DF">
        <w:rPr>
          <w:noProof/>
        </w:rPr>
        <w:t>við gerð fyllingar skal verktaki leggi til annað nothæft efni í staðinn.</w:t>
      </w:r>
    </w:p>
    <w:p w14:paraId="074B721F" w14:textId="77777777" w:rsidR="007273A8" w:rsidRPr="00540A60" w:rsidRDefault="007273A8" w:rsidP="00540A60">
      <w:pPr>
        <w:pStyle w:val="Li-fyrirsagnir"/>
      </w:pPr>
      <w:bookmarkStart w:id="3" w:name="_Toc178406381"/>
      <w:r w:rsidRPr="00540A60">
        <w:t>d)</w:t>
      </w:r>
      <w:r w:rsidRPr="00540A60">
        <w:tab/>
        <w:t>Prófanir</w:t>
      </w:r>
      <w:bookmarkEnd w:id="3"/>
    </w:p>
    <w:p w14:paraId="7465D5FE" w14:textId="77777777" w:rsidR="007273A8" w:rsidRPr="00DF09DF" w:rsidRDefault="007273A8" w:rsidP="00540A60">
      <w:pPr>
        <w:rPr>
          <w:noProof/>
        </w:rPr>
      </w:pPr>
      <w:r w:rsidRPr="00DF09DF">
        <w:rPr>
          <w:noProof/>
        </w:rPr>
        <w:t>Úttektarmælingar skal gera á svæði sem eðlilegt er að mæla sem eina heild.  Fjöldi mælipunkta miðast við að hægt sé að magntaka fyllinguna af nægilegri nákvæmni.</w:t>
      </w:r>
    </w:p>
    <w:p w14:paraId="01CF5D19" w14:textId="77777777" w:rsidR="007273A8" w:rsidRPr="00540A60" w:rsidRDefault="007273A8" w:rsidP="00540A60">
      <w:pPr>
        <w:pStyle w:val="Li-fyrirsagnir"/>
      </w:pPr>
      <w:r w:rsidRPr="00540A60">
        <w:t>e)</w:t>
      </w:r>
      <w:r w:rsidRPr="00540A60">
        <w:tab/>
        <w:t xml:space="preserve">Nákvæmniskröfur, þolvik </w:t>
      </w:r>
    </w:p>
    <w:p w14:paraId="0B334A3F" w14:textId="77777777" w:rsidR="007273A8" w:rsidRDefault="007273A8" w:rsidP="00540A60">
      <w:pPr>
        <w:rPr>
          <w:noProof/>
        </w:rPr>
      </w:pPr>
      <w:r w:rsidRPr="00C82DE4">
        <w:rPr>
          <w:noProof/>
        </w:rPr>
        <w:t>Halli fláa</w:t>
      </w:r>
      <w:r w:rsidRPr="00C82DE4">
        <w:rPr>
          <w:b/>
          <w:noProof/>
        </w:rPr>
        <w:t xml:space="preserve"> </w:t>
      </w:r>
      <w:r w:rsidRPr="00C82DE4">
        <w:rPr>
          <w:noProof/>
        </w:rPr>
        <w:t xml:space="preserve">(vegfláa, fyllingarfláa eða skeringarfláa) má ekki vera brattari en </w:t>
      </w:r>
      <w:r>
        <w:rPr>
          <w:noProof/>
        </w:rPr>
        <w:t>fram kemur á uppdráttum</w:t>
      </w:r>
      <w:r w:rsidRPr="00C82DE4">
        <w:rPr>
          <w:noProof/>
        </w:rPr>
        <w:t>, en allt að 15% flatari (hlutfall af gráðum mældum milli láréttrar línu og fláalínu), þó þannig að lega og breidd skurða breytist ekki</w:t>
      </w:r>
      <w:r w:rsidRPr="00C82DE4">
        <w:rPr>
          <w:noProof/>
          <w:color w:val="FF00FF"/>
        </w:rPr>
        <w:t xml:space="preserve">. </w:t>
      </w:r>
      <w:r w:rsidRPr="00C82DE4">
        <w:rPr>
          <w:noProof/>
        </w:rPr>
        <w:t>Einstakir staðir fláa skulu ekki víkja meira en ±150 mm frá fláalínu, mælt með 3 m réttskeið sem lögð er á frágenginn fláa.</w:t>
      </w:r>
    </w:p>
    <w:p w14:paraId="49B41546" w14:textId="77777777" w:rsidR="007273A8" w:rsidRDefault="007273A8" w:rsidP="00540A60">
      <w:r w:rsidRPr="00DF09DF">
        <w:t>Ef mælingar sýna frávik umfram leyfileg mörk skal verktaki bæta úr því.</w:t>
      </w:r>
    </w:p>
    <w:p w14:paraId="1CA10CB8" w14:textId="77777777" w:rsidR="00E51371" w:rsidRPr="00DF09DF" w:rsidRDefault="00E51371" w:rsidP="00540A60"/>
    <w:p w14:paraId="6971A16B" w14:textId="77777777" w:rsidR="00540A60" w:rsidRPr="002E3C93" w:rsidRDefault="00540A60" w:rsidP="002E3C93">
      <w:pPr>
        <w:pStyle w:val="Kaflafyrirsagnir"/>
      </w:pPr>
      <w:bookmarkStart w:id="4" w:name="_Toc7005246"/>
      <w:r w:rsidRPr="002E3C93">
        <w:lastRenderedPageBreak/>
        <w:t>34.</w:t>
      </w:r>
      <w:r w:rsidR="00F3032C">
        <w:t>1</w:t>
      </w:r>
      <w:r w:rsidRPr="002E3C93">
        <w:t xml:space="preserve"> Fláafleygar</w:t>
      </w:r>
      <w:bookmarkEnd w:id="4"/>
    </w:p>
    <w:p w14:paraId="474A7703" w14:textId="77777777" w:rsidR="00540A60" w:rsidRPr="00DF09DF" w:rsidRDefault="00540A60" w:rsidP="00540A60">
      <w:pPr>
        <w:rPr>
          <w:i/>
        </w:rPr>
      </w:pPr>
      <w:r>
        <w:t xml:space="preserve">a) </w:t>
      </w:r>
      <w:r w:rsidR="001A3488">
        <w:t xml:space="preserve">Um er að ræða </w:t>
      </w:r>
      <w:proofErr w:type="spellStart"/>
      <w:r>
        <w:t>útgröft</w:t>
      </w:r>
      <w:proofErr w:type="spellEnd"/>
      <w:r>
        <w:t xml:space="preserve">, geymslu, </w:t>
      </w:r>
      <w:proofErr w:type="spellStart"/>
      <w:r>
        <w:t>afstífingu</w:t>
      </w:r>
      <w:proofErr w:type="spellEnd"/>
      <w:r>
        <w:t xml:space="preserve">, vatnsvarnir, ámokstur, flutning, jöfnun og þjöppun efnis í fláafleyga </w:t>
      </w:r>
      <w:r w:rsidRPr="00DF09DF">
        <w:rPr>
          <w:i/>
          <w:color w:val="5B9BD5" w:themeColor="accent1"/>
        </w:rPr>
        <w:t>[nánari lýsing]</w:t>
      </w:r>
    </w:p>
    <w:p w14:paraId="0EC49292" w14:textId="77777777" w:rsidR="00540A60" w:rsidRDefault="00540A60" w:rsidP="00540A60">
      <w:pPr>
        <w:pStyle w:val="NoSpacing"/>
      </w:pPr>
      <w:r>
        <w:t>f) Magn til uppgjörs miðast við hannað frágengið rúmmál efnis í fláafleygum.</w:t>
      </w:r>
    </w:p>
    <w:p w14:paraId="2637B4C5" w14:textId="77777777" w:rsidR="00540A60" w:rsidRDefault="00540A60" w:rsidP="00540A60">
      <w:pPr>
        <w:pStyle w:val="NoSpacing"/>
      </w:pPr>
      <w:r>
        <w:t>Mælieining: m3</w:t>
      </w:r>
    </w:p>
    <w:p w14:paraId="421EB937" w14:textId="77777777" w:rsidR="00540A60" w:rsidRPr="002E3C93" w:rsidRDefault="00540A60" w:rsidP="002E3C93">
      <w:pPr>
        <w:pStyle w:val="Kaflafyrirsagnir"/>
      </w:pPr>
      <w:bookmarkStart w:id="5" w:name="_Toc7005247"/>
      <w:r w:rsidRPr="002E3C93">
        <w:t>34.1</w:t>
      </w:r>
      <w:r w:rsidR="00F3032C">
        <w:t>1</w:t>
      </w:r>
      <w:r w:rsidRPr="002E3C93">
        <w:t xml:space="preserve"> Fláafleygar, efni úr skeringum</w:t>
      </w:r>
      <w:bookmarkEnd w:id="5"/>
    </w:p>
    <w:p w14:paraId="2FB4500B" w14:textId="77777777" w:rsidR="00540A60" w:rsidRPr="00DF09DF" w:rsidRDefault="00540A60" w:rsidP="00540A60">
      <w:pPr>
        <w:rPr>
          <w:i/>
        </w:rPr>
      </w:pPr>
      <w:r>
        <w:t xml:space="preserve">a) </w:t>
      </w:r>
      <w:r w:rsidR="001A3488">
        <w:t>Um er að ræða</w:t>
      </w:r>
      <w:r>
        <w:t xml:space="preserve"> </w:t>
      </w:r>
      <w:proofErr w:type="spellStart"/>
      <w:r>
        <w:t>útgröft</w:t>
      </w:r>
      <w:proofErr w:type="spellEnd"/>
      <w:r>
        <w:t xml:space="preserve">, geymslu, </w:t>
      </w:r>
      <w:proofErr w:type="spellStart"/>
      <w:r>
        <w:t>afstífingu</w:t>
      </w:r>
      <w:proofErr w:type="spellEnd"/>
      <w:r>
        <w:t xml:space="preserve">, vatnsvarnir, ámokstur, flutning, jöfnun og þjöppun efnis úr skeringum í fláafleyga </w:t>
      </w:r>
      <w:r w:rsidRPr="00DF09DF">
        <w:rPr>
          <w:i/>
          <w:color w:val="5B9BD5" w:themeColor="accent1"/>
        </w:rPr>
        <w:t>[nánari lýsing]</w:t>
      </w:r>
    </w:p>
    <w:p w14:paraId="336F8067" w14:textId="77777777" w:rsidR="00540A60" w:rsidRDefault="00540A60" w:rsidP="00540A60">
      <w:pPr>
        <w:pStyle w:val="NoSpacing"/>
      </w:pPr>
      <w:r>
        <w:t>f) Magn til uppgjörs miðast við hannað frágengið rúmmál</w:t>
      </w:r>
      <w:r w:rsidR="00CE416C">
        <w:t xml:space="preserve"> </w:t>
      </w:r>
      <w:r>
        <w:t>efnis í fláafleygum.</w:t>
      </w:r>
    </w:p>
    <w:p w14:paraId="579DB10E" w14:textId="77777777" w:rsidR="00F30F25" w:rsidRDefault="00540A60" w:rsidP="00540A60">
      <w:pPr>
        <w:pStyle w:val="NoSpacing"/>
      </w:pPr>
      <w:r>
        <w:t>Mælieining: m3</w:t>
      </w:r>
    </w:p>
    <w:p w14:paraId="579E446B" w14:textId="77777777" w:rsidR="00540A60" w:rsidRDefault="00540A60" w:rsidP="002E3C93">
      <w:pPr>
        <w:pStyle w:val="Kaflafyrirsagnir"/>
      </w:pPr>
      <w:bookmarkStart w:id="6" w:name="_Toc7005248"/>
      <w:r>
        <w:t>34.</w:t>
      </w:r>
      <w:r w:rsidR="00F3032C">
        <w:t>1</w:t>
      </w:r>
      <w:r>
        <w:t>2 Fláafleygar, efni úr námum</w:t>
      </w:r>
      <w:bookmarkEnd w:id="6"/>
    </w:p>
    <w:p w14:paraId="6DB3B102" w14:textId="77777777" w:rsidR="00540A60" w:rsidRPr="00DF09DF" w:rsidRDefault="00540A60" w:rsidP="00540A60">
      <w:pPr>
        <w:rPr>
          <w:i/>
        </w:rPr>
      </w:pPr>
      <w:r>
        <w:t xml:space="preserve">a) </w:t>
      </w:r>
      <w:r w:rsidR="001A3488">
        <w:t>Um er að ræða</w:t>
      </w:r>
      <w:r>
        <w:t xml:space="preserve"> </w:t>
      </w:r>
      <w:proofErr w:type="spellStart"/>
      <w:r>
        <w:t>útgröft</w:t>
      </w:r>
      <w:proofErr w:type="spellEnd"/>
      <w:r>
        <w:t xml:space="preserve">, geymslu, </w:t>
      </w:r>
      <w:proofErr w:type="spellStart"/>
      <w:r>
        <w:t>afstífingu</w:t>
      </w:r>
      <w:proofErr w:type="spellEnd"/>
      <w:r>
        <w:t xml:space="preserve">, vatnsvarnir, ámokstur, flutning efnis, jöfnun og þjöppun efnis úr námum í fláafleyga </w:t>
      </w:r>
      <w:r w:rsidRPr="00DF09DF">
        <w:rPr>
          <w:i/>
          <w:color w:val="5B9BD5" w:themeColor="accent1"/>
        </w:rPr>
        <w:t>[nánari lýsing]</w:t>
      </w:r>
    </w:p>
    <w:p w14:paraId="219A8866" w14:textId="77777777" w:rsidR="00540A60" w:rsidRDefault="00540A60" w:rsidP="00540A60">
      <w:pPr>
        <w:pStyle w:val="NoSpacing"/>
      </w:pPr>
      <w:r>
        <w:t>f) Magn til uppgjörs miðast við hannað frágengið rúmmál</w:t>
      </w:r>
      <w:r w:rsidR="00CE416C">
        <w:t xml:space="preserve"> </w:t>
      </w:r>
      <w:r>
        <w:t>efnis í fláafleygum.</w:t>
      </w:r>
    </w:p>
    <w:p w14:paraId="406F6F78" w14:textId="77777777" w:rsidR="00540A60" w:rsidRDefault="00540A60" w:rsidP="00540A60">
      <w:pPr>
        <w:pStyle w:val="NoSpacing"/>
      </w:pPr>
      <w:r>
        <w:t>Mælieining: m3</w:t>
      </w:r>
    </w:p>
    <w:p w14:paraId="0E143433" w14:textId="77777777" w:rsidR="00540A60" w:rsidRPr="00540A60" w:rsidRDefault="00540A60" w:rsidP="002E3C93">
      <w:pPr>
        <w:pStyle w:val="Kaflafyrirsagnir"/>
        <w:rPr>
          <w:rFonts w:eastAsiaTheme="minorEastAsia"/>
        </w:rPr>
      </w:pPr>
      <w:bookmarkStart w:id="7" w:name="_Toc7005249"/>
      <w:r w:rsidRPr="00540A60">
        <w:rPr>
          <w:rFonts w:eastAsiaTheme="minorEastAsia"/>
        </w:rPr>
        <w:t>3</w:t>
      </w:r>
      <w:r w:rsidR="00F3032C">
        <w:rPr>
          <w:rFonts w:eastAsiaTheme="minorEastAsia"/>
        </w:rPr>
        <w:t>4</w:t>
      </w:r>
      <w:r w:rsidRPr="00540A60">
        <w:rPr>
          <w:rFonts w:eastAsiaTheme="minorEastAsia"/>
        </w:rPr>
        <w:t>.</w:t>
      </w:r>
      <w:r w:rsidR="00F3032C">
        <w:rPr>
          <w:rFonts w:eastAsiaTheme="minorEastAsia"/>
        </w:rPr>
        <w:t>2</w:t>
      </w:r>
      <w:r w:rsidR="00E51371">
        <w:rPr>
          <w:rFonts w:eastAsiaTheme="minorEastAsia"/>
        </w:rPr>
        <w:t xml:space="preserve"> </w:t>
      </w:r>
      <w:r w:rsidRPr="00540A60">
        <w:rPr>
          <w:rFonts w:eastAsiaTheme="minorEastAsia"/>
        </w:rPr>
        <w:t xml:space="preserve">Fyllingarefni í </w:t>
      </w:r>
      <w:r w:rsidR="002E3C93">
        <w:rPr>
          <w:rFonts w:eastAsiaTheme="minorEastAsia"/>
        </w:rPr>
        <w:t>hljóðdeyfigarða</w:t>
      </w:r>
      <w:bookmarkEnd w:id="7"/>
    </w:p>
    <w:p w14:paraId="382347B1" w14:textId="77777777" w:rsidR="00540A60" w:rsidRPr="002E3C93" w:rsidRDefault="00540A60" w:rsidP="002E3C93">
      <w:pPr>
        <w:pStyle w:val="NoSpacing"/>
        <w:rPr>
          <w:rFonts w:eastAsiaTheme="minorHAnsi"/>
          <w:i/>
          <w:color w:val="5B9BD5" w:themeColor="accent1"/>
          <w:lang w:eastAsia="en-US"/>
        </w:rPr>
      </w:pPr>
      <w:r w:rsidRPr="002E3C93">
        <w:t>a)</w:t>
      </w:r>
      <w:r w:rsidRPr="002E3C93">
        <w:tab/>
      </w:r>
      <w:r w:rsidR="001A3488">
        <w:t>Um er að ræða</w:t>
      </w:r>
      <w:r w:rsidR="002E3C93">
        <w:t xml:space="preserve"> losun efnis í </w:t>
      </w:r>
      <w:proofErr w:type="spellStart"/>
      <w:r w:rsidR="002E3C93">
        <w:t>skeringu</w:t>
      </w:r>
      <w:proofErr w:type="spellEnd"/>
      <w:r w:rsidR="002E3C93">
        <w:t xml:space="preserve"> í vegstæðinu eða í námu, ámokstur, flutning og frágang í hljóðdeyfigarða </w:t>
      </w:r>
      <w:r w:rsidRPr="002E3C93">
        <w:rPr>
          <w:rFonts w:eastAsiaTheme="minorHAnsi"/>
          <w:i/>
          <w:color w:val="5B9BD5" w:themeColor="accent1"/>
          <w:lang w:eastAsia="en-US"/>
        </w:rPr>
        <w:t>[nánari lýsing]</w:t>
      </w:r>
    </w:p>
    <w:p w14:paraId="3C822FDC" w14:textId="77777777" w:rsidR="00540A60" w:rsidRPr="002E3C93" w:rsidRDefault="00540A60" w:rsidP="002E3C93">
      <w:pPr>
        <w:pStyle w:val="NoSpacing"/>
      </w:pPr>
      <w:r w:rsidRPr="002E3C93">
        <w:t>e)</w:t>
      </w:r>
      <w:r w:rsidRPr="002E3C93">
        <w:tab/>
        <w:t xml:space="preserve"> Frávik frá hannaðri hæð er </w:t>
      </w:r>
      <w:r w:rsidR="002E3C93" w:rsidRPr="002E3C93">
        <w:rPr>
          <w:rFonts w:eastAsiaTheme="minorHAnsi"/>
          <w:i/>
          <w:color w:val="5B9BD5" w:themeColor="accent1"/>
          <w:lang w:eastAsia="en-US"/>
        </w:rPr>
        <w:t>[gildi</w:t>
      </w:r>
      <w:r w:rsidRPr="002E3C93">
        <w:rPr>
          <w:rFonts w:eastAsiaTheme="minorHAnsi"/>
          <w:i/>
          <w:color w:val="5B9BD5" w:themeColor="accent1"/>
          <w:lang w:eastAsia="en-US"/>
        </w:rPr>
        <w:t>]</w:t>
      </w:r>
    </w:p>
    <w:p w14:paraId="6972ED9A" w14:textId="77777777" w:rsidR="00540A60" w:rsidRPr="002E3C93" w:rsidRDefault="00540A60" w:rsidP="002E3C93">
      <w:pPr>
        <w:pStyle w:val="NoSpacing"/>
        <w:rPr>
          <w:rFonts w:eastAsiaTheme="minorHAnsi"/>
          <w:i/>
          <w:color w:val="5B9BD5" w:themeColor="accent1"/>
          <w:lang w:eastAsia="en-US"/>
        </w:rPr>
      </w:pPr>
      <w:r w:rsidRPr="002E3C93">
        <w:t xml:space="preserve">Frávik á yfirborði fláa, mælt með 3m réttskeið er </w:t>
      </w:r>
      <w:r w:rsidR="002E3C93" w:rsidRPr="002E3C93">
        <w:rPr>
          <w:rFonts w:eastAsiaTheme="minorHAnsi"/>
          <w:i/>
          <w:color w:val="5B9BD5" w:themeColor="accent1"/>
          <w:lang w:eastAsia="en-US"/>
        </w:rPr>
        <w:t>[gildi]</w:t>
      </w:r>
    </w:p>
    <w:p w14:paraId="79120F40" w14:textId="77777777" w:rsidR="00540A60" w:rsidRPr="002E3C93" w:rsidRDefault="00540A60" w:rsidP="002E3C93">
      <w:pPr>
        <w:pStyle w:val="NoSpacing"/>
      </w:pPr>
      <w:r w:rsidRPr="002E3C93">
        <w:t>f)</w:t>
      </w:r>
      <w:r w:rsidRPr="002E3C93">
        <w:tab/>
        <w:t>Magn til uppgjörs miðast við frágengið rúmmál efnis.</w:t>
      </w:r>
    </w:p>
    <w:p w14:paraId="44DFF014" w14:textId="77777777" w:rsidR="00540A60" w:rsidRPr="002E3C93" w:rsidRDefault="00540A60" w:rsidP="002E3C93">
      <w:pPr>
        <w:pStyle w:val="NoSpacing"/>
      </w:pPr>
      <w:r w:rsidRPr="002E3C93">
        <w:t>Mælieining</w:t>
      </w:r>
      <w:r w:rsidR="00E51371">
        <w:t>:</w:t>
      </w:r>
      <w:r w:rsidRPr="002E3C93">
        <w:t xml:space="preserve"> m3</w:t>
      </w:r>
    </w:p>
    <w:p w14:paraId="5E0A0369" w14:textId="77777777" w:rsidR="00F3032C" w:rsidRPr="00F3032C" w:rsidRDefault="00A2276B" w:rsidP="00F3032C">
      <w:pPr>
        <w:pStyle w:val="Kaflafyrirsagnir"/>
        <w:rPr>
          <w:rFonts w:eastAsiaTheme="minorEastAsia"/>
        </w:rPr>
      </w:pPr>
      <w:bookmarkStart w:id="8" w:name="_Toc7005250"/>
      <w:r>
        <w:rPr>
          <w:rFonts w:eastAsiaTheme="minorEastAsia"/>
        </w:rPr>
        <w:t>34</w:t>
      </w:r>
      <w:r w:rsidR="00F3032C" w:rsidRPr="00F3032C">
        <w:rPr>
          <w:rFonts w:eastAsiaTheme="minorEastAsia"/>
        </w:rPr>
        <w:t>.</w:t>
      </w:r>
      <w:r>
        <w:rPr>
          <w:rFonts w:eastAsiaTheme="minorEastAsia"/>
        </w:rPr>
        <w:t>8</w:t>
      </w:r>
      <w:r w:rsidR="00F3032C" w:rsidRPr="00F3032C">
        <w:rPr>
          <w:rFonts w:eastAsiaTheme="minorEastAsia"/>
        </w:rPr>
        <w:t xml:space="preserve"> </w:t>
      </w:r>
      <w:r w:rsidR="00BB47C9">
        <w:rPr>
          <w:rFonts w:eastAsiaTheme="minorEastAsia"/>
        </w:rPr>
        <w:t xml:space="preserve">Ónothæfu efni </w:t>
      </w:r>
      <w:r w:rsidR="00F3032C" w:rsidRPr="00F3032C">
        <w:rPr>
          <w:rFonts w:eastAsiaTheme="minorEastAsia"/>
        </w:rPr>
        <w:t>jafnað á losunarstað</w:t>
      </w:r>
      <w:bookmarkEnd w:id="8"/>
      <w:r w:rsidR="00F3032C" w:rsidRPr="00F3032C">
        <w:rPr>
          <w:rFonts w:eastAsiaTheme="minorEastAsia"/>
        </w:rPr>
        <w:t xml:space="preserve"> </w:t>
      </w:r>
    </w:p>
    <w:p w14:paraId="4131AC4F" w14:textId="77777777" w:rsidR="00A2276B" w:rsidRDefault="00F3032C" w:rsidP="00540A60">
      <w:pPr>
        <w:pStyle w:val="NoSpacing"/>
      </w:pPr>
      <w:r>
        <w:t xml:space="preserve">a) </w:t>
      </w:r>
      <w:r w:rsidR="00A2276B">
        <w:t xml:space="preserve">Um er að ræða </w:t>
      </w:r>
      <w:r>
        <w:t xml:space="preserve">losun efnis </w:t>
      </w:r>
      <w:r w:rsidR="00A2276B">
        <w:t>í</w:t>
      </w:r>
      <w:r>
        <w:t xml:space="preserve"> </w:t>
      </w:r>
      <w:proofErr w:type="spellStart"/>
      <w:r>
        <w:t>skeringu</w:t>
      </w:r>
      <w:proofErr w:type="spellEnd"/>
      <w:r>
        <w:t xml:space="preserve"> </w:t>
      </w:r>
      <w:r w:rsidR="00A2276B">
        <w:t xml:space="preserve">jafnað </w:t>
      </w:r>
      <w:r>
        <w:t>á losunarstað</w:t>
      </w:r>
      <w:r w:rsidR="00A2276B">
        <w:t xml:space="preserve"> </w:t>
      </w:r>
      <w:r w:rsidR="00A2276B" w:rsidRPr="002E3C93">
        <w:rPr>
          <w:rFonts w:eastAsiaTheme="minorHAnsi"/>
          <w:i/>
          <w:color w:val="5B9BD5" w:themeColor="accent1"/>
          <w:lang w:eastAsia="en-US"/>
        </w:rPr>
        <w:t>[nánari lýsing]</w:t>
      </w:r>
      <w:r>
        <w:t xml:space="preserve"> </w:t>
      </w:r>
    </w:p>
    <w:p w14:paraId="29AC3262" w14:textId="77777777" w:rsidR="00A2276B" w:rsidRDefault="00F3032C" w:rsidP="00540A60">
      <w:pPr>
        <w:pStyle w:val="NoSpacing"/>
      </w:pPr>
      <w:r>
        <w:t xml:space="preserve">f) </w:t>
      </w:r>
      <w:r w:rsidR="00206FCB">
        <w:t>Uppgjör miðaðs við uppmælt rúmmál efnis frágengnu á losunarstað.</w:t>
      </w:r>
    </w:p>
    <w:p w14:paraId="4E15B1B7" w14:textId="77777777" w:rsidR="00F3032C" w:rsidRDefault="00F3032C" w:rsidP="00540A60">
      <w:pPr>
        <w:pStyle w:val="NoSpacing"/>
      </w:pPr>
      <w:r>
        <w:t>Mælieining: m3</w:t>
      </w:r>
    </w:p>
    <w:sectPr w:rsidR="00F303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80DC5" w14:textId="77777777" w:rsidR="00613AFF" w:rsidRDefault="00613AFF" w:rsidP="007530DC">
      <w:pPr>
        <w:spacing w:after="0" w:line="240" w:lineRule="auto"/>
      </w:pPr>
      <w:r>
        <w:separator/>
      </w:r>
    </w:p>
  </w:endnote>
  <w:endnote w:type="continuationSeparator" w:id="0">
    <w:p w14:paraId="072F3B73" w14:textId="77777777" w:rsidR="00613AFF" w:rsidRDefault="00613AFF" w:rsidP="0075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326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20788" w14:textId="77777777" w:rsidR="00770514" w:rsidRDefault="00770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C7EEEE" w14:textId="77777777" w:rsidR="007530DC" w:rsidRDefault="00753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FAAB3" w14:textId="77777777" w:rsidR="00613AFF" w:rsidRDefault="00613AFF" w:rsidP="007530DC">
      <w:pPr>
        <w:spacing w:after="0" w:line="240" w:lineRule="auto"/>
      </w:pPr>
      <w:r>
        <w:separator/>
      </w:r>
    </w:p>
  </w:footnote>
  <w:footnote w:type="continuationSeparator" w:id="0">
    <w:p w14:paraId="3711D025" w14:textId="77777777" w:rsidR="00613AFF" w:rsidRDefault="00613AFF" w:rsidP="0075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DABEA" w14:textId="2B8A8A28" w:rsidR="007530DC" w:rsidRDefault="006318CA">
    <w:pPr>
      <w:pStyle w:val="Header"/>
    </w:pPr>
    <w:r>
      <w:t>SNI-3401-34 Aðrar fyllingar</w:t>
    </w:r>
    <w:r w:rsidR="007530DC">
      <w:ptab w:relativeTo="margin" w:alignment="right" w:leader="none"/>
    </w:r>
    <w:r w:rsidR="00D14007">
      <w:t>24</w:t>
    </w:r>
    <w:r w:rsidR="00E51371">
      <w:t>.0</w:t>
    </w:r>
    <w:r w:rsidR="00D14007">
      <w:t>4</w:t>
    </w:r>
    <w:r w:rsidR="00E51371">
      <w:t>.201</w:t>
    </w:r>
    <w:r w:rsidR="002E777F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8"/>
    <w:rsid w:val="001A3488"/>
    <w:rsid w:val="00206FCB"/>
    <w:rsid w:val="002E3C93"/>
    <w:rsid w:val="002E777F"/>
    <w:rsid w:val="00540A60"/>
    <w:rsid w:val="00613AFF"/>
    <w:rsid w:val="006318CA"/>
    <w:rsid w:val="007273A8"/>
    <w:rsid w:val="007530DC"/>
    <w:rsid w:val="00754188"/>
    <w:rsid w:val="00770514"/>
    <w:rsid w:val="007D73D6"/>
    <w:rsid w:val="008D45A9"/>
    <w:rsid w:val="008F3626"/>
    <w:rsid w:val="009C0C0D"/>
    <w:rsid w:val="00A2276B"/>
    <w:rsid w:val="00BB47C9"/>
    <w:rsid w:val="00CE416C"/>
    <w:rsid w:val="00D14007"/>
    <w:rsid w:val="00E51371"/>
    <w:rsid w:val="00F3032C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F2E8"/>
  <w15:chartTrackingRefBased/>
  <w15:docId w15:val="{EF04C917-E78F-442F-8D58-EC4C8AE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40A60"/>
    <w:pPr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3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3A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73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7273A8"/>
    <w:pPr>
      <w:spacing w:after="120"/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7273A8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40A60"/>
    <w:pPr>
      <w:keepNext w:val="0"/>
      <w:keepLines w:val="0"/>
      <w:tabs>
        <w:tab w:val="num" w:pos="1008"/>
        <w:tab w:val="left" w:pos="1134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A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40A60"/>
    <w:pPr>
      <w:tabs>
        <w:tab w:val="left" w:pos="567"/>
        <w:tab w:val="left" w:pos="1134"/>
      </w:tabs>
      <w:spacing w:before="170" w:after="57" w:line="240" w:lineRule="auto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40A60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540A60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NoSpacing">
    <w:name w:val="No Spacing"/>
    <w:aliases w:val="Verkþáttur"/>
    <w:uiPriority w:val="1"/>
    <w:qFormat/>
    <w:rsid w:val="002E3C93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0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5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0DC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1371"/>
    <w:pPr>
      <w:spacing w:before="240" w:after="0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51371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E51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Gísli Gíslason - VG</cp:lastModifiedBy>
  <cp:revision>5</cp:revision>
  <dcterms:created xsi:type="dcterms:W3CDTF">2019-04-24T11:10:00Z</dcterms:created>
  <dcterms:modified xsi:type="dcterms:W3CDTF">2023-05-10T12:55:00Z</dcterms:modified>
</cp:coreProperties>
</file>