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heme="minorHAnsi" w:hAnsi="Times New Roman" w:cstheme="minorBidi"/>
          <w:color w:val="auto"/>
          <w:sz w:val="24"/>
          <w:szCs w:val="22"/>
          <w:lang w:val="is-IS"/>
        </w:rPr>
        <w:id w:val="329653550"/>
        <w:docPartObj>
          <w:docPartGallery w:val="Table of Contents"/>
          <w:docPartUnique/>
        </w:docPartObj>
      </w:sdtPr>
      <w:sdtEndPr>
        <w:rPr>
          <w:b/>
          <w:bCs/>
          <w:noProof/>
        </w:rPr>
      </w:sdtEndPr>
      <w:sdtContent>
        <w:p w14:paraId="66C09972" w14:textId="77777777" w:rsidR="00267316" w:rsidRPr="00670C13" w:rsidRDefault="00670C13">
          <w:pPr>
            <w:pStyle w:val="TOCHeading"/>
            <w:rPr>
              <w:rStyle w:val="KaflafyrirsagnirChar"/>
              <w:rFonts w:eastAsiaTheme="majorEastAsia"/>
              <w:color w:val="auto"/>
            </w:rPr>
          </w:pPr>
          <w:r w:rsidRPr="00670C13">
            <w:rPr>
              <w:rStyle w:val="KaflafyrirsagnirChar"/>
              <w:rFonts w:eastAsiaTheme="majorEastAsia"/>
              <w:color w:val="auto"/>
            </w:rPr>
            <w:t>Efnisyfirlit</w:t>
          </w:r>
        </w:p>
        <w:p w14:paraId="21107939" w14:textId="77777777" w:rsidR="002220DD" w:rsidRDefault="00267316">
          <w:pPr>
            <w:pStyle w:val="TOC1"/>
            <w:tabs>
              <w:tab w:val="right" w:leader="dot" w:pos="9062"/>
            </w:tabs>
            <w:rPr>
              <w:rFonts w:asciiTheme="minorHAnsi" w:eastAsiaTheme="minorEastAsia" w:hAnsiTheme="minorHAnsi"/>
              <w:noProof/>
              <w:sz w:val="22"/>
              <w:lang w:val="en-US"/>
            </w:rPr>
          </w:pPr>
          <w:r>
            <w:fldChar w:fldCharType="begin"/>
          </w:r>
          <w:r>
            <w:instrText xml:space="preserve"> TOC \o "1-3" \h \z \u </w:instrText>
          </w:r>
          <w:r>
            <w:fldChar w:fldCharType="separate"/>
          </w:r>
          <w:hyperlink w:anchor="_Toc6994845" w:history="1">
            <w:r w:rsidR="002220DD" w:rsidRPr="00803496">
              <w:rPr>
                <w:rStyle w:val="Hyperlink"/>
                <w:noProof/>
              </w:rPr>
              <w:t>Fylling - Almenn lýsing</w:t>
            </w:r>
            <w:r w:rsidR="002220DD">
              <w:rPr>
                <w:noProof/>
                <w:webHidden/>
              </w:rPr>
              <w:tab/>
            </w:r>
            <w:r w:rsidR="002220DD">
              <w:rPr>
                <w:noProof/>
                <w:webHidden/>
              </w:rPr>
              <w:fldChar w:fldCharType="begin"/>
            </w:r>
            <w:r w:rsidR="002220DD">
              <w:rPr>
                <w:noProof/>
                <w:webHidden/>
              </w:rPr>
              <w:instrText xml:space="preserve"> PAGEREF _Toc6994845 \h </w:instrText>
            </w:r>
            <w:r w:rsidR="002220DD">
              <w:rPr>
                <w:noProof/>
                <w:webHidden/>
              </w:rPr>
            </w:r>
            <w:r w:rsidR="002220DD">
              <w:rPr>
                <w:noProof/>
                <w:webHidden/>
              </w:rPr>
              <w:fldChar w:fldCharType="separate"/>
            </w:r>
            <w:r w:rsidR="002220DD">
              <w:rPr>
                <w:noProof/>
                <w:webHidden/>
              </w:rPr>
              <w:t>1</w:t>
            </w:r>
            <w:r w:rsidR="002220DD">
              <w:rPr>
                <w:noProof/>
                <w:webHidden/>
              </w:rPr>
              <w:fldChar w:fldCharType="end"/>
            </w:r>
          </w:hyperlink>
        </w:p>
        <w:p w14:paraId="10073CC7" w14:textId="77777777" w:rsidR="002220DD" w:rsidRDefault="002F7267">
          <w:pPr>
            <w:pStyle w:val="TOC1"/>
            <w:tabs>
              <w:tab w:val="left" w:pos="880"/>
              <w:tab w:val="right" w:leader="dot" w:pos="9062"/>
            </w:tabs>
            <w:rPr>
              <w:rFonts w:asciiTheme="minorHAnsi" w:eastAsiaTheme="minorEastAsia" w:hAnsiTheme="minorHAnsi"/>
              <w:noProof/>
              <w:sz w:val="22"/>
              <w:lang w:val="en-US"/>
            </w:rPr>
          </w:pPr>
          <w:hyperlink w:anchor="_Toc6994846" w:history="1">
            <w:r w:rsidR="002220DD" w:rsidRPr="00803496">
              <w:rPr>
                <w:rStyle w:val="Hyperlink"/>
                <w:noProof/>
              </w:rPr>
              <w:t xml:space="preserve">33.1  </w:t>
            </w:r>
            <w:r w:rsidR="002220DD">
              <w:rPr>
                <w:rFonts w:asciiTheme="minorHAnsi" w:eastAsiaTheme="minorEastAsia" w:hAnsiTheme="minorHAnsi"/>
                <w:noProof/>
                <w:sz w:val="22"/>
                <w:lang w:val="en-US"/>
              </w:rPr>
              <w:tab/>
            </w:r>
            <w:r w:rsidR="002220DD" w:rsidRPr="00803496">
              <w:rPr>
                <w:rStyle w:val="Hyperlink"/>
                <w:noProof/>
              </w:rPr>
              <w:t>Fyllingarefni úr skeringu</w:t>
            </w:r>
            <w:r w:rsidR="002220DD">
              <w:rPr>
                <w:noProof/>
                <w:webHidden/>
              </w:rPr>
              <w:tab/>
            </w:r>
            <w:r w:rsidR="002220DD">
              <w:rPr>
                <w:noProof/>
                <w:webHidden/>
              </w:rPr>
              <w:fldChar w:fldCharType="begin"/>
            </w:r>
            <w:r w:rsidR="002220DD">
              <w:rPr>
                <w:noProof/>
                <w:webHidden/>
              </w:rPr>
              <w:instrText xml:space="preserve"> PAGEREF _Toc6994846 \h </w:instrText>
            </w:r>
            <w:r w:rsidR="002220DD">
              <w:rPr>
                <w:noProof/>
                <w:webHidden/>
              </w:rPr>
            </w:r>
            <w:r w:rsidR="002220DD">
              <w:rPr>
                <w:noProof/>
                <w:webHidden/>
              </w:rPr>
              <w:fldChar w:fldCharType="separate"/>
            </w:r>
            <w:r w:rsidR="002220DD">
              <w:rPr>
                <w:noProof/>
                <w:webHidden/>
              </w:rPr>
              <w:t>4</w:t>
            </w:r>
            <w:r w:rsidR="002220DD">
              <w:rPr>
                <w:noProof/>
                <w:webHidden/>
              </w:rPr>
              <w:fldChar w:fldCharType="end"/>
            </w:r>
          </w:hyperlink>
        </w:p>
        <w:p w14:paraId="00B35332" w14:textId="77777777" w:rsidR="002220DD" w:rsidRDefault="002F7267">
          <w:pPr>
            <w:pStyle w:val="TOC1"/>
            <w:tabs>
              <w:tab w:val="left" w:pos="880"/>
              <w:tab w:val="right" w:leader="dot" w:pos="9062"/>
            </w:tabs>
            <w:rPr>
              <w:rFonts w:asciiTheme="minorHAnsi" w:eastAsiaTheme="minorEastAsia" w:hAnsiTheme="minorHAnsi"/>
              <w:noProof/>
              <w:sz w:val="22"/>
              <w:lang w:val="en-US"/>
            </w:rPr>
          </w:pPr>
          <w:hyperlink w:anchor="_Toc6994847" w:history="1">
            <w:r w:rsidR="002220DD" w:rsidRPr="00803496">
              <w:rPr>
                <w:rStyle w:val="Hyperlink"/>
                <w:noProof/>
              </w:rPr>
              <w:t xml:space="preserve">33.2  </w:t>
            </w:r>
            <w:r w:rsidR="002220DD">
              <w:rPr>
                <w:rFonts w:asciiTheme="minorHAnsi" w:eastAsiaTheme="minorEastAsia" w:hAnsiTheme="minorHAnsi"/>
                <w:noProof/>
                <w:sz w:val="22"/>
                <w:lang w:val="en-US"/>
              </w:rPr>
              <w:tab/>
            </w:r>
            <w:r w:rsidR="002220DD" w:rsidRPr="00803496">
              <w:rPr>
                <w:rStyle w:val="Hyperlink"/>
                <w:noProof/>
              </w:rPr>
              <w:t>Fyllingarefni úr námu</w:t>
            </w:r>
            <w:r w:rsidR="002220DD">
              <w:rPr>
                <w:noProof/>
                <w:webHidden/>
              </w:rPr>
              <w:tab/>
            </w:r>
            <w:r w:rsidR="002220DD">
              <w:rPr>
                <w:noProof/>
                <w:webHidden/>
              </w:rPr>
              <w:fldChar w:fldCharType="begin"/>
            </w:r>
            <w:r w:rsidR="002220DD">
              <w:rPr>
                <w:noProof/>
                <w:webHidden/>
              </w:rPr>
              <w:instrText xml:space="preserve"> PAGEREF _Toc6994847 \h </w:instrText>
            </w:r>
            <w:r w:rsidR="002220DD">
              <w:rPr>
                <w:noProof/>
                <w:webHidden/>
              </w:rPr>
            </w:r>
            <w:r w:rsidR="002220DD">
              <w:rPr>
                <w:noProof/>
                <w:webHidden/>
              </w:rPr>
              <w:fldChar w:fldCharType="separate"/>
            </w:r>
            <w:r w:rsidR="002220DD">
              <w:rPr>
                <w:noProof/>
                <w:webHidden/>
              </w:rPr>
              <w:t>5</w:t>
            </w:r>
            <w:r w:rsidR="002220DD">
              <w:rPr>
                <w:noProof/>
                <w:webHidden/>
              </w:rPr>
              <w:fldChar w:fldCharType="end"/>
            </w:r>
          </w:hyperlink>
        </w:p>
        <w:p w14:paraId="5AF9B624" w14:textId="77777777" w:rsidR="00267316" w:rsidRDefault="00267316">
          <w:r>
            <w:rPr>
              <w:b/>
              <w:bCs/>
              <w:noProof/>
            </w:rPr>
            <w:fldChar w:fldCharType="end"/>
          </w:r>
        </w:p>
      </w:sdtContent>
    </w:sdt>
    <w:p w14:paraId="3CDF2D99" w14:textId="77777777" w:rsidR="00001597" w:rsidRPr="00271DCF" w:rsidRDefault="00271DCF" w:rsidP="00271DCF">
      <w:pPr>
        <w:pStyle w:val="Kaflafyrirsagnir"/>
      </w:pPr>
      <w:bookmarkStart w:id="0" w:name="_Toc6994845"/>
      <w:r w:rsidRPr="00271DCF">
        <w:t>F</w:t>
      </w:r>
      <w:r w:rsidR="00001597" w:rsidRPr="00271DCF">
        <w:t>ylling</w:t>
      </w:r>
      <w:r w:rsidR="00260083">
        <w:t xml:space="preserve"> -</w:t>
      </w:r>
      <w:r w:rsidR="005D61ED" w:rsidRPr="00271DCF">
        <w:t xml:space="preserve"> Almenn lýsing</w:t>
      </w:r>
      <w:bookmarkEnd w:id="0"/>
    </w:p>
    <w:p w14:paraId="58E52909" w14:textId="094F2BD6" w:rsidR="00001597" w:rsidRPr="00271DCF" w:rsidRDefault="00001597" w:rsidP="00271DCF">
      <w:pPr>
        <w:pStyle w:val="Li-fyrirsagnir"/>
      </w:pPr>
      <w:r w:rsidRPr="00271DCF">
        <w:t>a)</w:t>
      </w:r>
      <w:r w:rsidRPr="00271DCF">
        <w:tab/>
        <w:t>Verksvið</w:t>
      </w:r>
    </w:p>
    <w:p w14:paraId="6A643208" w14:textId="3250A057" w:rsidR="00CF2A03" w:rsidRPr="00CF2A03" w:rsidRDefault="00001597" w:rsidP="00CF2A03">
      <w:r w:rsidRPr="00DF09DF">
        <w:t xml:space="preserve">Verksviðið er gerð fyllingar. </w:t>
      </w:r>
      <w:r w:rsidR="00CF2A03">
        <w:t>Í því felst</w:t>
      </w:r>
      <w:r w:rsidRPr="00DF09DF">
        <w:t xml:space="preserve"> nauðsynlegur undirbúningur undirstöðu, þ.m.t. </w:t>
      </w:r>
      <w:r>
        <w:t xml:space="preserve">hreinsun og jöfnun, </w:t>
      </w:r>
      <w:proofErr w:type="spellStart"/>
      <w:r w:rsidRPr="00DF09DF">
        <w:t>stöllun</w:t>
      </w:r>
      <w:proofErr w:type="spellEnd"/>
      <w:r w:rsidRPr="00DF09DF">
        <w:t>, losun efnis (nema ef um er að ræð</w:t>
      </w:r>
      <w:r>
        <w:t>a berg), ofan</w:t>
      </w:r>
      <w:r w:rsidR="00CF2A03">
        <w:t>af</w:t>
      </w:r>
      <w:r>
        <w:t>ýting</w:t>
      </w:r>
      <w:r w:rsidR="00A35F41">
        <w:t>,</w:t>
      </w:r>
      <w:r>
        <w:t xml:space="preserve"> </w:t>
      </w:r>
      <w:r w:rsidR="00A35F41" w:rsidRPr="008112FC">
        <w:t>afstífing, styrking og</w:t>
      </w:r>
      <w:r w:rsidR="00A35F41">
        <w:t xml:space="preserve"> </w:t>
      </w:r>
      <w:r w:rsidRPr="00DF09DF">
        <w:t>vatnsvarnir</w:t>
      </w:r>
      <w:r w:rsidR="00CF2A03">
        <w:t>.</w:t>
      </w:r>
      <w:r w:rsidR="00A35F41">
        <w:t xml:space="preserve"> </w:t>
      </w:r>
      <w:r w:rsidR="000A54D0">
        <w:t>Einnig vinnsla</w:t>
      </w:r>
      <w:r w:rsidR="00CF2A03">
        <w:t xml:space="preserve"> m.a. flokkun og</w:t>
      </w:r>
      <w:r w:rsidRPr="00DF09DF">
        <w:t xml:space="preserve"> haugsetning, ámokstur og flutning</w:t>
      </w:r>
      <w:r w:rsidR="000A54D0">
        <w:t>ur</w:t>
      </w:r>
      <w:r w:rsidRPr="00DF09DF">
        <w:t xml:space="preserve"> efnis, útlögn,</w:t>
      </w:r>
      <w:r w:rsidR="000A54D0">
        <w:t xml:space="preserve"> jöfnun,</w:t>
      </w:r>
      <w:r w:rsidRPr="00DF09DF">
        <w:t xml:space="preserve"> </w:t>
      </w:r>
      <w:r w:rsidR="000A54D0">
        <w:t xml:space="preserve">þurrkun, </w:t>
      </w:r>
      <w:r w:rsidR="000A54D0" w:rsidRPr="00DF09DF">
        <w:t>vökvun</w:t>
      </w:r>
      <w:r w:rsidR="000A54D0">
        <w:t xml:space="preserve">, </w:t>
      </w:r>
      <w:r w:rsidRPr="00DF09DF">
        <w:t xml:space="preserve">þjöppun </w:t>
      </w:r>
      <w:r w:rsidR="00CF2A03" w:rsidRPr="00CF2A03">
        <w:t xml:space="preserve">og allur frágangur efnis í </w:t>
      </w:r>
      <w:r w:rsidR="00984EAA">
        <w:t>fyllingu</w:t>
      </w:r>
      <w:r w:rsidR="00CF2A03" w:rsidRPr="00CF2A03">
        <w:t>.</w:t>
      </w:r>
    </w:p>
    <w:p w14:paraId="20E04F19" w14:textId="526F36C8" w:rsidR="00001597" w:rsidRPr="00DF09DF" w:rsidRDefault="00001597" w:rsidP="00271DCF"/>
    <w:p w14:paraId="58474507" w14:textId="77777777" w:rsidR="00001597" w:rsidRPr="00271DCF" w:rsidRDefault="00001597" w:rsidP="00271DCF">
      <w:pPr>
        <w:pStyle w:val="Li-fyrirsagnir"/>
      </w:pPr>
      <w:r w:rsidRPr="00271DCF">
        <w:t>b)</w:t>
      </w:r>
      <w:r w:rsidRPr="00271DCF">
        <w:tab/>
        <w:t>Efniskröfur</w:t>
      </w:r>
    </w:p>
    <w:p w14:paraId="412FFA4E" w14:textId="2E6F0E96" w:rsidR="00001597" w:rsidRPr="00DF09DF" w:rsidRDefault="00001597" w:rsidP="00271DCF">
      <w:pPr>
        <w:rPr>
          <w:noProof/>
        </w:rPr>
      </w:pPr>
      <w:r w:rsidRPr="00DF09DF">
        <w:rPr>
          <w:noProof/>
        </w:rPr>
        <w:t xml:space="preserve">Fyllingarefni </w:t>
      </w:r>
      <w:r w:rsidR="00651BD1" w:rsidRPr="00F46E28">
        <w:t xml:space="preserve">skal uppfylla </w:t>
      </w:r>
      <w:r w:rsidR="00651BD1">
        <w:t xml:space="preserve">þær </w:t>
      </w:r>
      <w:r w:rsidR="00651BD1" w:rsidRPr="00F46E28">
        <w:t xml:space="preserve">kröfur </w:t>
      </w:r>
      <w:r w:rsidR="00651BD1" w:rsidRPr="00F46E28">
        <w:rPr>
          <w:lang w:eastAsia="en-GB"/>
        </w:rPr>
        <w:t>sem hér koma fram.</w:t>
      </w:r>
      <w:r w:rsidR="00651BD1">
        <w:rPr>
          <w:lang w:eastAsia="en-GB"/>
        </w:rPr>
        <w:t xml:space="preserve"> Efnið </w:t>
      </w:r>
      <w:r w:rsidRPr="00DF09DF">
        <w:rPr>
          <w:noProof/>
        </w:rPr>
        <w:t>skal ekki vera lífrænt efni</w:t>
      </w:r>
      <w:r w:rsidR="000A54D0">
        <w:rPr>
          <w:noProof/>
        </w:rPr>
        <w:t>, mælt með</w:t>
      </w:r>
      <w:r w:rsidRPr="00DF09DF">
        <w:rPr>
          <w:noProof/>
        </w:rPr>
        <w:t xml:space="preserve"> glæðitap</w:t>
      </w:r>
      <w:r w:rsidR="000A54D0">
        <w:rPr>
          <w:noProof/>
        </w:rPr>
        <w:t>sprófi</w:t>
      </w:r>
      <w:r w:rsidRPr="00DF09DF">
        <w:rPr>
          <w:noProof/>
        </w:rPr>
        <w:t xml:space="preserve"> </w:t>
      </w:r>
      <w:r w:rsidR="00D144F7">
        <w:rPr>
          <w:noProof/>
        </w:rPr>
        <w:t xml:space="preserve">og skal glæðitap </w:t>
      </w:r>
      <w:r w:rsidRPr="00DF09DF">
        <w:rPr>
          <w:noProof/>
        </w:rPr>
        <w:t>moldarblandaðra fyllingarefna  ekki vera meira en 3%</w:t>
      </w:r>
      <w:r w:rsidR="000A54D0">
        <w:rPr>
          <w:noProof/>
        </w:rPr>
        <w:t xml:space="preserve">, </w:t>
      </w:r>
      <w:r w:rsidR="000A54D0">
        <w:t>þegar umreiknað hefur verið út frá þyngd</w:t>
      </w:r>
      <w:r w:rsidR="000A54D0" w:rsidRPr="002C7ED0">
        <w:t xml:space="preserve"> </w:t>
      </w:r>
      <w:r w:rsidR="000A54D0" w:rsidRPr="008A789A">
        <w:t>alls</w:t>
      </w:r>
      <w:r w:rsidR="000A54D0">
        <w:t xml:space="preserve"> </w:t>
      </w:r>
      <w:r w:rsidR="000A54D0" w:rsidRPr="002C7ED0">
        <w:t>efnisins</w:t>
      </w:r>
      <w:r w:rsidRPr="00DF09DF">
        <w:rPr>
          <w:noProof/>
        </w:rPr>
        <w:t xml:space="preserve">. Efnið má ekki vera frosið í köggla eða blandað ís eða snjó. </w:t>
      </w:r>
    </w:p>
    <w:p w14:paraId="68A2573A" w14:textId="56C28178" w:rsidR="00001597" w:rsidRPr="00DF09DF" w:rsidRDefault="00001597" w:rsidP="00271DCF">
      <w:pPr>
        <w:rPr>
          <w:noProof/>
        </w:rPr>
      </w:pPr>
      <w:r w:rsidRPr="00DF09DF">
        <w:rPr>
          <w:noProof/>
        </w:rPr>
        <w:t>Sé fylling gerð á deigu landi</w:t>
      </w:r>
      <w:r w:rsidRPr="00DF09DF">
        <w:rPr>
          <w:b/>
          <w:noProof/>
        </w:rPr>
        <w:t xml:space="preserve"> </w:t>
      </w:r>
      <w:r w:rsidR="00A35F41">
        <w:rPr>
          <w:noProof/>
        </w:rPr>
        <w:t>skal neðsta lag fyllingar</w:t>
      </w:r>
      <w:r w:rsidRPr="00DF09DF">
        <w:rPr>
          <w:noProof/>
        </w:rPr>
        <w:t xml:space="preserve"> gert úr frostfríu efni.</w:t>
      </w:r>
    </w:p>
    <w:p w14:paraId="36F9448E" w14:textId="664AA5DF" w:rsidR="00001597" w:rsidRDefault="00001597" w:rsidP="00271DCF">
      <w:pPr>
        <w:rPr>
          <w:noProof/>
        </w:rPr>
      </w:pPr>
      <w:r w:rsidRPr="00DF09DF">
        <w:rPr>
          <w:noProof/>
        </w:rPr>
        <w:t xml:space="preserve">Uppfylla skal </w:t>
      </w:r>
      <w:r w:rsidR="00873EDC">
        <w:rPr>
          <w:noProof/>
        </w:rPr>
        <w:t>síu</w:t>
      </w:r>
      <w:r w:rsidRPr="00DF09DF">
        <w:rPr>
          <w:noProof/>
        </w:rPr>
        <w:t xml:space="preserve">kröfur í </w:t>
      </w:r>
      <w:r>
        <w:rPr>
          <w:noProof/>
        </w:rPr>
        <w:t xml:space="preserve">eftirfarandi </w:t>
      </w:r>
      <w:r w:rsidRPr="00DF09DF">
        <w:rPr>
          <w:noProof/>
        </w:rPr>
        <w:t>töflu milli einstakra efnislaga í veginum</w:t>
      </w:r>
      <w:r>
        <w:rPr>
          <w:noProof/>
        </w:rPr>
        <w:t xml:space="preserve">, þar sem </w:t>
      </w:r>
      <w:r w:rsidRPr="00DF09DF">
        <w:rPr>
          <w:noProof/>
        </w:rPr>
        <w:t>dx</w:t>
      </w:r>
      <w:r w:rsidR="00873EDC">
        <w:rPr>
          <w:noProof/>
        </w:rPr>
        <w:t>x</w:t>
      </w:r>
      <w:r w:rsidRPr="00DF09DF">
        <w:rPr>
          <w:noProof/>
        </w:rPr>
        <w:t xml:space="preserve"> er sú </w:t>
      </w:r>
      <w:r w:rsidR="00873EDC">
        <w:rPr>
          <w:noProof/>
        </w:rPr>
        <w:t>möskvastærð í sigti</w:t>
      </w:r>
      <w:r w:rsidRPr="00DF09DF">
        <w:rPr>
          <w:noProof/>
        </w:rPr>
        <w:t xml:space="preserve"> sem x</w:t>
      </w:r>
      <w:r w:rsidR="00873EDC">
        <w:rPr>
          <w:noProof/>
        </w:rPr>
        <w:t>x</w:t>
      </w:r>
      <w:r w:rsidRPr="00DF09DF">
        <w:rPr>
          <w:noProof/>
        </w:rPr>
        <w:t xml:space="preserve">% af efninu smýgur, S stendur fyrir </w:t>
      </w:r>
      <w:r w:rsidR="00873EDC">
        <w:rPr>
          <w:noProof/>
        </w:rPr>
        <w:t>smágerðara</w:t>
      </w:r>
      <w:r w:rsidRPr="00DF09DF">
        <w:rPr>
          <w:noProof/>
        </w:rPr>
        <w:t xml:space="preserve"> efnið og G fyrir það grófara.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2126"/>
      </w:tblGrid>
      <w:tr w:rsidR="00651BD1" w:rsidRPr="003400D2" w14:paraId="609516EA" w14:textId="77777777" w:rsidTr="00A35F41">
        <w:trPr>
          <w:jc w:val="center"/>
        </w:trPr>
        <w:tc>
          <w:tcPr>
            <w:tcW w:w="3686" w:type="dxa"/>
          </w:tcPr>
          <w:p w14:paraId="13C7D86D" w14:textId="77777777" w:rsidR="00651BD1" w:rsidRPr="003400D2" w:rsidRDefault="00651BD1" w:rsidP="002979E2">
            <w:pPr>
              <w:jc w:val="center"/>
              <w:rPr>
                <w:b/>
                <w:sz w:val="20"/>
                <w:szCs w:val="20"/>
              </w:rPr>
            </w:pPr>
            <w:r w:rsidRPr="003400D2">
              <w:rPr>
                <w:b/>
                <w:sz w:val="20"/>
                <w:szCs w:val="20"/>
              </w:rPr>
              <w:t>Stærðahlutfall</w:t>
            </w:r>
          </w:p>
          <w:p w14:paraId="74C68318" w14:textId="77777777" w:rsidR="00651BD1" w:rsidRPr="003400D2" w:rsidRDefault="00651BD1" w:rsidP="002979E2">
            <w:pPr>
              <w:jc w:val="center"/>
              <w:rPr>
                <w:b/>
                <w:sz w:val="20"/>
                <w:szCs w:val="20"/>
              </w:rPr>
            </w:pPr>
            <w:r w:rsidRPr="003400D2">
              <w:rPr>
                <w:b/>
                <w:sz w:val="20"/>
                <w:szCs w:val="20"/>
              </w:rPr>
              <w:t>Grófara (G) / Smágerðara (S)</w:t>
            </w:r>
          </w:p>
        </w:tc>
        <w:tc>
          <w:tcPr>
            <w:tcW w:w="2126" w:type="dxa"/>
          </w:tcPr>
          <w:p w14:paraId="7EA02414" w14:textId="77777777" w:rsidR="00651BD1" w:rsidRPr="003400D2" w:rsidRDefault="00651BD1" w:rsidP="00C858FD">
            <w:pPr>
              <w:jc w:val="center"/>
              <w:rPr>
                <w:b/>
                <w:bCs/>
                <w:sz w:val="20"/>
                <w:szCs w:val="20"/>
              </w:rPr>
            </w:pPr>
            <w:r w:rsidRPr="003400D2">
              <w:rPr>
                <w:b/>
                <w:bCs/>
                <w:sz w:val="20"/>
                <w:szCs w:val="20"/>
              </w:rPr>
              <w:t>Kröfur</w:t>
            </w:r>
          </w:p>
        </w:tc>
      </w:tr>
      <w:tr w:rsidR="00651BD1" w:rsidRPr="003400D2" w14:paraId="62313029" w14:textId="77777777" w:rsidTr="00A35F41">
        <w:trPr>
          <w:jc w:val="center"/>
        </w:trPr>
        <w:tc>
          <w:tcPr>
            <w:tcW w:w="3686" w:type="dxa"/>
          </w:tcPr>
          <w:p w14:paraId="529CEE64" w14:textId="77777777" w:rsidR="00651BD1" w:rsidRPr="003400D2" w:rsidRDefault="00651BD1" w:rsidP="002979E2">
            <w:pPr>
              <w:jc w:val="center"/>
              <w:rPr>
                <w:sz w:val="20"/>
                <w:szCs w:val="20"/>
              </w:rPr>
            </w:pPr>
            <w:r w:rsidRPr="003400D2">
              <w:rPr>
                <w:sz w:val="20"/>
                <w:szCs w:val="20"/>
              </w:rPr>
              <w:t>d</w:t>
            </w:r>
            <w:r w:rsidRPr="003400D2">
              <w:rPr>
                <w:sz w:val="20"/>
                <w:szCs w:val="20"/>
                <w:vertAlign w:val="subscript"/>
              </w:rPr>
              <w:t>15G</w:t>
            </w:r>
            <w:r w:rsidRPr="003400D2">
              <w:rPr>
                <w:sz w:val="20"/>
                <w:szCs w:val="20"/>
              </w:rPr>
              <w:t>/d</w:t>
            </w:r>
            <w:r w:rsidRPr="003400D2">
              <w:rPr>
                <w:sz w:val="20"/>
                <w:szCs w:val="20"/>
                <w:vertAlign w:val="subscript"/>
              </w:rPr>
              <w:t>85S</w:t>
            </w:r>
          </w:p>
        </w:tc>
        <w:tc>
          <w:tcPr>
            <w:tcW w:w="2126" w:type="dxa"/>
          </w:tcPr>
          <w:p w14:paraId="697254EE" w14:textId="77777777" w:rsidR="00651BD1" w:rsidRPr="003400D2" w:rsidRDefault="00651BD1" w:rsidP="002979E2">
            <w:pPr>
              <w:jc w:val="center"/>
              <w:rPr>
                <w:sz w:val="20"/>
                <w:szCs w:val="20"/>
              </w:rPr>
            </w:pPr>
            <w:r>
              <w:rPr>
                <w:sz w:val="20"/>
                <w:szCs w:val="20"/>
              </w:rPr>
              <w:t xml:space="preserve">≤ </w:t>
            </w:r>
            <w:r w:rsidRPr="003400D2">
              <w:rPr>
                <w:sz w:val="20"/>
                <w:szCs w:val="20"/>
              </w:rPr>
              <w:t>5</w:t>
            </w:r>
          </w:p>
        </w:tc>
      </w:tr>
      <w:tr w:rsidR="00651BD1" w:rsidRPr="003400D2" w14:paraId="5DAC38F9" w14:textId="77777777" w:rsidTr="00A35F41">
        <w:trPr>
          <w:jc w:val="center"/>
        </w:trPr>
        <w:tc>
          <w:tcPr>
            <w:tcW w:w="3686" w:type="dxa"/>
          </w:tcPr>
          <w:p w14:paraId="14117ED9" w14:textId="77777777" w:rsidR="00651BD1" w:rsidRPr="003400D2" w:rsidRDefault="00651BD1" w:rsidP="002979E2">
            <w:pPr>
              <w:jc w:val="center"/>
              <w:rPr>
                <w:sz w:val="20"/>
                <w:szCs w:val="20"/>
              </w:rPr>
            </w:pPr>
            <w:r w:rsidRPr="003400D2">
              <w:rPr>
                <w:sz w:val="20"/>
                <w:szCs w:val="20"/>
              </w:rPr>
              <w:t>d</w:t>
            </w:r>
            <w:r w:rsidRPr="003400D2">
              <w:rPr>
                <w:sz w:val="20"/>
                <w:szCs w:val="20"/>
                <w:vertAlign w:val="subscript"/>
              </w:rPr>
              <w:t>50G</w:t>
            </w:r>
            <w:r w:rsidRPr="003400D2">
              <w:rPr>
                <w:sz w:val="20"/>
                <w:szCs w:val="20"/>
              </w:rPr>
              <w:t>/d</w:t>
            </w:r>
            <w:r w:rsidRPr="003400D2">
              <w:rPr>
                <w:sz w:val="20"/>
                <w:szCs w:val="20"/>
                <w:vertAlign w:val="subscript"/>
              </w:rPr>
              <w:t>50S</w:t>
            </w:r>
          </w:p>
        </w:tc>
        <w:tc>
          <w:tcPr>
            <w:tcW w:w="2126" w:type="dxa"/>
          </w:tcPr>
          <w:p w14:paraId="7E3BF829" w14:textId="77777777" w:rsidR="00651BD1" w:rsidRPr="003400D2" w:rsidRDefault="00651BD1" w:rsidP="002979E2">
            <w:pPr>
              <w:jc w:val="center"/>
              <w:rPr>
                <w:sz w:val="20"/>
                <w:szCs w:val="20"/>
              </w:rPr>
            </w:pPr>
            <w:r>
              <w:rPr>
                <w:sz w:val="20"/>
                <w:szCs w:val="20"/>
              </w:rPr>
              <w:t xml:space="preserve">≤ </w:t>
            </w:r>
            <w:r w:rsidRPr="003400D2">
              <w:rPr>
                <w:sz w:val="20"/>
                <w:szCs w:val="20"/>
              </w:rPr>
              <w:t>25</w:t>
            </w:r>
          </w:p>
        </w:tc>
      </w:tr>
    </w:tbl>
    <w:p w14:paraId="621FBE6F" w14:textId="77777777" w:rsidR="00001597" w:rsidRPr="00DF09DF" w:rsidRDefault="00001597" w:rsidP="00271DCF">
      <w:pPr>
        <w:rPr>
          <w:noProof/>
        </w:rPr>
      </w:pPr>
      <w:r w:rsidRPr="00DF09DF">
        <w:rPr>
          <w:noProof/>
        </w:rPr>
        <w:t>Ef kröfur eru ekki uppfylltar skal setja síulag eða síudúk milli laga. Eftirfarandi kröfur eru gerðar:</w:t>
      </w:r>
    </w:p>
    <w:p w14:paraId="76D98A67" w14:textId="128337BC" w:rsidR="00001597" w:rsidRDefault="00001597" w:rsidP="00271DCF">
      <w:r w:rsidRPr="00DF09DF">
        <w:rPr>
          <w:noProof/>
        </w:rPr>
        <w:t>Lágmarksþykkt síulags skal vera 150 mm. Mesta steinastærð skal vera minni en helmingur lagþykktar.</w:t>
      </w:r>
      <w:r w:rsidRPr="00DF09DF">
        <w:t xml:space="preserve"> Minnst 50% af síuefninu skal vera &gt; 2</w:t>
      </w:r>
      <w:r w:rsidRPr="00DF09DF">
        <w:rPr>
          <w:noProof/>
        </w:rPr>
        <w:t xml:space="preserve"> mm</w:t>
      </w:r>
      <w:r w:rsidR="00B05271">
        <w:rPr>
          <w:noProof/>
        </w:rPr>
        <w:t>, en stærstu steinar (D‘</w:t>
      </w:r>
      <w:r w:rsidR="00B05271" w:rsidRPr="00B05271">
        <w:rPr>
          <w:noProof/>
          <w:vertAlign w:val="subscript"/>
        </w:rPr>
        <w:t>98</w:t>
      </w:r>
      <w:r w:rsidR="00B05271">
        <w:rPr>
          <w:noProof/>
        </w:rPr>
        <w:t>) skulu vera minni en hálf lagþykkt síulagsins</w:t>
      </w:r>
      <w:r w:rsidRPr="00DF09DF">
        <w:rPr>
          <w:noProof/>
        </w:rPr>
        <w:t>.</w:t>
      </w:r>
      <w:r w:rsidRPr="00DF09DF">
        <w:t xml:space="preserve"> Hámark fínefna í óflokkuðu efni skal vera samkvæmt UF</w:t>
      </w:r>
      <w:r w:rsidRPr="00DF09DF">
        <w:rPr>
          <w:vertAlign w:val="subscript"/>
        </w:rPr>
        <w:t xml:space="preserve">7 </w:t>
      </w:r>
      <w:r w:rsidRPr="00DF09DF">
        <w:t>miðað við efni í stærðarflokki 0/63 mm. Að öðru leyti skal síuefnið uppfylla sömu kröfur og efnin sem það er síuefni fyrir.</w:t>
      </w:r>
    </w:p>
    <w:p w14:paraId="129F88B5" w14:textId="77777777" w:rsidR="00886323" w:rsidRDefault="00886323" w:rsidP="00271DCF">
      <w:r>
        <w:t>Til að tryggja að síulag sem byggt er ofan á vegbotn eða fyllingu afvatnist mun betur en efnið sem það er lagt ofan á skal kanna hvort krafan í töflunni hér á eftir sé uppfyllt.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2410"/>
      </w:tblGrid>
      <w:tr w:rsidR="00886323" w:rsidRPr="003400D2" w14:paraId="5ECD0D98" w14:textId="77777777" w:rsidTr="00B05271">
        <w:trPr>
          <w:jc w:val="center"/>
        </w:trPr>
        <w:tc>
          <w:tcPr>
            <w:tcW w:w="3539" w:type="dxa"/>
          </w:tcPr>
          <w:p w14:paraId="0D4C41D4" w14:textId="77777777" w:rsidR="00886323" w:rsidRPr="003400D2" w:rsidRDefault="00886323" w:rsidP="002979E2">
            <w:pPr>
              <w:jc w:val="center"/>
              <w:rPr>
                <w:b/>
                <w:sz w:val="20"/>
                <w:szCs w:val="20"/>
              </w:rPr>
            </w:pPr>
            <w:r w:rsidRPr="003400D2">
              <w:rPr>
                <w:b/>
                <w:sz w:val="20"/>
                <w:szCs w:val="20"/>
              </w:rPr>
              <w:t>Stærðahlutfall</w:t>
            </w:r>
          </w:p>
          <w:p w14:paraId="41860CBA" w14:textId="77777777" w:rsidR="00886323" w:rsidRPr="003400D2" w:rsidRDefault="00886323" w:rsidP="002979E2">
            <w:pPr>
              <w:jc w:val="center"/>
              <w:rPr>
                <w:b/>
                <w:sz w:val="20"/>
                <w:szCs w:val="20"/>
              </w:rPr>
            </w:pPr>
            <w:r>
              <w:rPr>
                <w:b/>
                <w:sz w:val="20"/>
                <w:szCs w:val="20"/>
              </w:rPr>
              <w:lastRenderedPageBreak/>
              <w:t>síulag / vegbotn eða fylling</w:t>
            </w:r>
          </w:p>
        </w:tc>
        <w:tc>
          <w:tcPr>
            <w:tcW w:w="2410" w:type="dxa"/>
          </w:tcPr>
          <w:p w14:paraId="4EA30393" w14:textId="77777777" w:rsidR="00886323" w:rsidRPr="003400D2" w:rsidRDefault="00886323" w:rsidP="002979E2">
            <w:pPr>
              <w:jc w:val="center"/>
              <w:rPr>
                <w:b/>
                <w:bCs/>
                <w:sz w:val="20"/>
                <w:szCs w:val="20"/>
              </w:rPr>
            </w:pPr>
            <w:r w:rsidRPr="003400D2">
              <w:rPr>
                <w:b/>
                <w:bCs/>
                <w:sz w:val="20"/>
                <w:szCs w:val="20"/>
              </w:rPr>
              <w:lastRenderedPageBreak/>
              <w:t>Kröfur</w:t>
            </w:r>
          </w:p>
        </w:tc>
      </w:tr>
      <w:tr w:rsidR="00886323" w:rsidRPr="003400D2" w14:paraId="012DCEC1" w14:textId="77777777" w:rsidTr="00B05271">
        <w:trPr>
          <w:jc w:val="center"/>
        </w:trPr>
        <w:tc>
          <w:tcPr>
            <w:tcW w:w="3539" w:type="dxa"/>
          </w:tcPr>
          <w:p w14:paraId="7B8F6F56" w14:textId="77777777" w:rsidR="00886323" w:rsidRPr="003400D2" w:rsidRDefault="00886323" w:rsidP="002979E2">
            <w:pPr>
              <w:jc w:val="center"/>
              <w:rPr>
                <w:sz w:val="20"/>
                <w:szCs w:val="20"/>
              </w:rPr>
            </w:pPr>
            <w:r w:rsidRPr="003400D2">
              <w:rPr>
                <w:sz w:val="20"/>
                <w:szCs w:val="20"/>
              </w:rPr>
              <w:t>d</w:t>
            </w:r>
            <w:r w:rsidRPr="003400D2">
              <w:rPr>
                <w:sz w:val="20"/>
                <w:szCs w:val="20"/>
                <w:vertAlign w:val="subscript"/>
              </w:rPr>
              <w:t>15</w:t>
            </w:r>
            <w:r>
              <w:rPr>
                <w:sz w:val="20"/>
                <w:szCs w:val="20"/>
                <w:vertAlign w:val="subscript"/>
              </w:rPr>
              <w:t>, síulag</w:t>
            </w:r>
            <w:r w:rsidRPr="003400D2">
              <w:rPr>
                <w:sz w:val="20"/>
                <w:szCs w:val="20"/>
              </w:rPr>
              <w:t>/d</w:t>
            </w:r>
            <w:r w:rsidRPr="003400D2">
              <w:rPr>
                <w:sz w:val="20"/>
                <w:szCs w:val="20"/>
                <w:vertAlign w:val="subscript"/>
              </w:rPr>
              <w:t>15</w:t>
            </w:r>
            <w:r>
              <w:rPr>
                <w:sz w:val="20"/>
                <w:szCs w:val="20"/>
                <w:vertAlign w:val="subscript"/>
              </w:rPr>
              <w:t>, vegbotn/fylling</w:t>
            </w:r>
          </w:p>
        </w:tc>
        <w:tc>
          <w:tcPr>
            <w:tcW w:w="2410" w:type="dxa"/>
          </w:tcPr>
          <w:p w14:paraId="48AF1E64" w14:textId="77777777" w:rsidR="00886323" w:rsidRPr="003400D2" w:rsidRDefault="00886323" w:rsidP="002979E2">
            <w:pPr>
              <w:jc w:val="center"/>
              <w:rPr>
                <w:sz w:val="20"/>
                <w:szCs w:val="20"/>
              </w:rPr>
            </w:pPr>
            <w:r>
              <w:rPr>
                <w:sz w:val="20"/>
                <w:szCs w:val="20"/>
              </w:rPr>
              <w:t xml:space="preserve">≥ </w:t>
            </w:r>
            <w:r w:rsidRPr="003400D2">
              <w:rPr>
                <w:sz w:val="20"/>
                <w:szCs w:val="20"/>
              </w:rPr>
              <w:t>5</w:t>
            </w:r>
          </w:p>
        </w:tc>
      </w:tr>
    </w:tbl>
    <w:p w14:paraId="55616F38" w14:textId="77777777" w:rsidR="00886323" w:rsidRPr="00DF09DF" w:rsidRDefault="00886323" w:rsidP="00271DCF">
      <w:pPr>
        <w:rPr>
          <w:noProof/>
        </w:rPr>
      </w:pPr>
    </w:p>
    <w:p w14:paraId="15F49E86" w14:textId="58CA382C" w:rsidR="00001597" w:rsidRPr="00DF09DF" w:rsidRDefault="00001597" w:rsidP="00271DCF">
      <w:pPr>
        <w:rPr>
          <w:noProof/>
        </w:rPr>
      </w:pPr>
      <w:r w:rsidRPr="00DF09DF">
        <w:rPr>
          <w:noProof/>
        </w:rPr>
        <w:t>Síudúkar skulu uppfylla kröfur ÍST</w:t>
      </w:r>
      <w:r w:rsidR="00B05271">
        <w:rPr>
          <w:noProof/>
        </w:rPr>
        <w:t xml:space="preserve"> </w:t>
      </w:r>
      <w:r w:rsidRPr="00DF09DF">
        <w:rPr>
          <w:noProof/>
        </w:rPr>
        <w:t>EN 13249.</w:t>
      </w:r>
    </w:p>
    <w:p w14:paraId="64723E30" w14:textId="77777777" w:rsidR="00001597" w:rsidRPr="00271DCF" w:rsidRDefault="00001597" w:rsidP="00271DCF">
      <w:pPr>
        <w:pStyle w:val="Li-fyrirsagnir"/>
      </w:pPr>
      <w:r w:rsidRPr="00271DCF">
        <w:t>c)</w:t>
      </w:r>
      <w:r w:rsidRPr="00271DCF">
        <w:tab/>
        <w:t>Vinnugæði</w:t>
      </w:r>
    </w:p>
    <w:p w14:paraId="0DC8AA88" w14:textId="77777777" w:rsidR="00001597" w:rsidRPr="00DF09DF" w:rsidRDefault="00001597" w:rsidP="00271DCF">
      <w:pPr>
        <w:rPr>
          <w:noProof/>
        </w:rPr>
      </w:pPr>
      <w:r w:rsidRPr="00DF09DF">
        <w:t>Markalínur skeringar í vegsvæði skulu vera í samræmi við uppdrætti í útboðsgögnum. Við</w:t>
      </w:r>
      <w:r w:rsidRPr="00DF09DF">
        <w:rPr>
          <w:noProof/>
        </w:rPr>
        <w:t xml:space="preserve"> gerð fyllingar skal fylgja fláum, yfirborðslínum, dýptum og hæðum, sem fram koma á uppdráttum í útboðsgögnum.</w:t>
      </w:r>
    </w:p>
    <w:p w14:paraId="6642D6E1" w14:textId="77777777" w:rsidR="00001597" w:rsidRPr="00DF09DF" w:rsidRDefault="00001597" w:rsidP="00271DCF">
      <w:pPr>
        <w:rPr>
          <w:noProof/>
          <w:szCs w:val="24"/>
        </w:rPr>
      </w:pPr>
      <w:r w:rsidRPr="00DF09DF">
        <w:rPr>
          <w:noProof/>
          <w:szCs w:val="24"/>
        </w:rPr>
        <w:t>Gera skal allar nauðsynlegar ráðstafanir til varnar jarðskriði og hreinsa skal úr fláum skeringa alla lausa steina, sem hrunhætta getur stafað af. Flokka skal allt skeringarefni og skal þess gætt að ekkert útgrafið efni sé flutt af vinnusvæðinu nema í samráði við eða að fyrirmælum verkkaupa. Ganga skal frá efninu þannig að sú þjöppun og jöfnun náist sem mælt er fyrir um.</w:t>
      </w:r>
    </w:p>
    <w:p w14:paraId="2D3A6DC6" w14:textId="223F65DD" w:rsidR="00001597" w:rsidRPr="00DF09DF" w:rsidRDefault="00001597" w:rsidP="00271DCF">
      <w:pPr>
        <w:rPr>
          <w:strike/>
          <w:noProof/>
          <w:szCs w:val="24"/>
        </w:rPr>
      </w:pPr>
      <w:r w:rsidRPr="00DF09DF">
        <w:rPr>
          <w:noProof/>
          <w:szCs w:val="24"/>
        </w:rPr>
        <w:t xml:space="preserve">Sé skeringum lokið og efni í skeringarbotni kemst, vegna aðgerða eða aðgerðaleysis verktaka, í slíkt ástand að það verður ónothæft eða tekur ekki þjöppun eða ekki er unnt að þjappa fyllingu ofan á það, skal verktaki gera </w:t>
      </w:r>
      <w:r w:rsidR="000655D8">
        <w:rPr>
          <w:noProof/>
          <w:szCs w:val="24"/>
        </w:rPr>
        <w:t xml:space="preserve">viðeigandi </w:t>
      </w:r>
      <w:r w:rsidRPr="00DF09DF">
        <w:rPr>
          <w:noProof/>
          <w:szCs w:val="24"/>
        </w:rPr>
        <w:t>ráðstafanir</w:t>
      </w:r>
      <w:r w:rsidR="000655D8">
        <w:rPr>
          <w:noProof/>
          <w:szCs w:val="24"/>
        </w:rPr>
        <w:t>.</w:t>
      </w:r>
      <w:r w:rsidRPr="00DF09DF">
        <w:rPr>
          <w:noProof/>
          <w:szCs w:val="24"/>
        </w:rPr>
        <w:t xml:space="preserve"> </w:t>
      </w:r>
      <w:r w:rsidR="000655D8">
        <w:rPr>
          <w:noProof/>
          <w:szCs w:val="24"/>
        </w:rPr>
        <w:t>A</w:t>
      </w:r>
      <w:r w:rsidRPr="00DF09DF">
        <w:rPr>
          <w:noProof/>
          <w:szCs w:val="24"/>
        </w:rPr>
        <w:t>nnað hvort með frekari útgrefti eða með því að bíða þar til ástand efnisins er orðið slíkt, að þjöppun náist eða það sé hæft til að bæta á það frekari fyllingu.</w:t>
      </w:r>
      <w:r w:rsidRPr="00DF09DF">
        <w:rPr>
          <w:strike/>
          <w:noProof/>
          <w:color w:val="0000FF"/>
          <w:szCs w:val="24"/>
        </w:rPr>
        <w:t xml:space="preserve"> </w:t>
      </w:r>
    </w:p>
    <w:p w14:paraId="35921E52" w14:textId="77777777" w:rsidR="00001597" w:rsidRPr="00DF09DF" w:rsidRDefault="00001597" w:rsidP="00271DCF">
      <w:pPr>
        <w:rPr>
          <w:b/>
          <w:noProof/>
          <w:szCs w:val="24"/>
        </w:rPr>
      </w:pPr>
      <w:r w:rsidRPr="00DF09DF">
        <w:rPr>
          <w:noProof/>
          <w:szCs w:val="24"/>
        </w:rPr>
        <w:t>Yfirborð undirstöðu skal jafnað að því marki að unnt sé að þjappa fyllingu og magntaka hana.</w:t>
      </w:r>
    </w:p>
    <w:p w14:paraId="41A1FE04" w14:textId="02398BE2" w:rsidR="00001597" w:rsidRPr="00DF09DF" w:rsidRDefault="00001597" w:rsidP="00271DCF">
      <w:pPr>
        <w:rPr>
          <w:noProof/>
        </w:rPr>
      </w:pPr>
      <w:r w:rsidRPr="00DF09DF">
        <w:rPr>
          <w:noProof/>
        </w:rPr>
        <w:t>Ekki skal leggja út fyllingu á frosið undirlag sem getur tekið formbreytingum. Þegar fyllt er á mjúkt undirlag skal fyrsta álagsþrep ekki vera meira en 19,6 kPa og hvert síðara álagþrep ekki meira en 29</w:t>
      </w:r>
      <w:r w:rsidR="000655D8">
        <w:rPr>
          <w:noProof/>
        </w:rPr>
        <w:t>,</w:t>
      </w:r>
      <w:r w:rsidRPr="00DF09DF">
        <w:rPr>
          <w:noProof/>
        </w:rPr>
        <w:t>4 kPa. Fylla skal strax í</w:t>
      </w:r>
      <w:r w:rsidRPr="00DF09DF">
        <w:rPr>
          <w:noProof/>
          <w:color w:val="4F81BD"/>
        </w:rPr>
        <w:t xml:space="preserve"> </w:t>
      </w:r>
      <w:r w:rsidRPr="00DF09DF">
        <w:rPr>
          <w:noProof/>
        </w:rPr>
        <w:t xml:space="preserve">alla breidd fyllingar. </w:t>
      </w:r>
    </w:p>
    <w:p w14:paraId="7E9AAB34" w14:textId="4CBC08D6" w:rsidR="00001597" w:rsidRPr="00DF09DF" w:rsidRDefault="00001597" w:rsidP="00271DCF">
      <w:pPr>
        <w:rPr>
          <w:noProof/>
        </w:rPr>
      </w:pPr>
      <w:r w:rsidRPr="00DF09DF">
        <w:rPr>
          <w:noProof/>
        </w:rPr>
        <w:t>Allt fyllingarefni skal leggja í lögum og ákvarðast þykkt hvers lags af efnisgerð og búnaði til þjöppunar. Mesta steinastærð</w:t>
      </w:r>
      <w:r w:rsidRPr="00DF09DF">
        <w:rPr>
          <w:b/>
          <w:noProof/>
        </w:rPr>
        <w:t xml:space="preserve"> </w:t>
      </w:r>
      <w:r w:rsidRPr="00DF09DF">
        <w:rPr>
          <w:noProof/>
        </w:rPr>
        <w:t>skal vera minni en 2/3 hlutar lagþykktar fullþjappaðs lags. Fyllingarefni með ólíka eiginleika skal leggja í aðskildum lögum þannig að burðarmeira efnið sé ofar í fyllingunni</w:t>
      </w:r>
      <w:r w:rsidRPr="008112FC">
        <w:rPr>
          <w:noProof/>
        </w:rPr>
        <w:t xml:space="preserve">. Fjarlægð frá endanlegu yfirborði </w:t>
      </w:r>
      <w:r w:rsidR="005727BA" w:rsidRPr="008112FC">
        <w:rPr>
          <w:noProof/>
        </w:rPr>
        <w:t xml:space="preserve">hvers valtaðs lags </w:t>
      </w:r>
      <w:r w:rsidRPr="008112FC">
        <w:rPr>
          <w:noProof/>
        </w:rPr>
        <w:t>fyllingar niður á stóran stein (&gt;</w:t>
      </w:r>
      <w:r w:rsidR="000655D8" w:rsidRPr="008112FC">
        <w:rPr>
          <w:noProof/>
        </w:rPr>
        <w:t xml:space="preserve"> </w:t>
      </w:r>
      <w:r w:rsidRPr="008112FC">
        <w:rPr>
          <w:noProof/>
        </w:rPr>
        <w:t>500 mm</w:t>
      </w:r>
      <w:r w:rsidR="000655D8" w:rsidRPr="008112FC">
        <w:rPr>
          <w:noProof/>
        </w:rPr>
        <w:t xml:space="preserve"> í þvermál</w:t>
      </w:r>
      <w:r w:rsidRPr="008112FC">
        <w:rPr>
          <w:noProof/>
        </w:rPr>
        <w:t>) skal vera minnst 1,5 sinnum þvermál steinsins.</w:t>
      </w:r>
    </w:p>
    <w:p w14:paraId="0EA6DC3C" w14:textId="27C0BF60" w:rsidR="00001597" w:rsidRDefault="00001597" w:rsidP="00271DCF">
      <w:pPr>
        <w:rPr>
          <w:noProof/>
        </w:rPr>
      </w:pPr>
      <w:r w:rsidRPr="00DF09DF">
        <w:rPr>
          <w:noProof/>
        </w:rPr>
        <w:t>Við útlögn efnis skal einungis nota efni sem hefur hæfilegt rakastig þ</w:t>
      </w:r>
      <w:r w:rsidR="000655D8">
        <w:rPr>
          <w:noProof/>
        </w:rPr>
        <w:t xml:space="preserve">annig </w:t>
      </w:r>
      <w:r w:rsidRPr="00DF09DF">
        <w:rPr>
          <w:noProof/>
        </w:rPr>
        <w:t>a</w:t>
      </w:r>
      <w:r w:rsidR="000655D8">
        <w:rPr>
          <w:noProof/>
        </w:rPr>
        <w:t>ð</w:t>
      </w:r>
      <w:r w:rsidRPr="00DF09DF">
        <w:rPr>
          <w:noProof/>
        </w:rPr>
        <w:t xml:space="preserve"> hægt sé að þjappa það strax eftir útlögn. </w:t>
      </w:r>
    </w:p>
    <w:p w14:paraId="00C14BB1" w14:textId="7DED1F19" w:rsidR="0033356E" w:rsidRPr="003B1D9F" w:rsidRDefault="0033356E" w:rsidP="009A3A32">
      <w:r w:rsidRPr="003B1D9F">
        <w:t>Stjórnandi valta skal halda dagbækur um völtun, þar sem fram kemur:</w:t>
      </w:r>
    </w:p>
    <w:p w14:paraId="12816C57" w14:textId="77777777" w:rsidR="008909E7" w:rsidRDefault="008909E7" w:rsidP="00271DCF">
      <w:pPr>
        <w:pStyle w:val="ListParagraph"/>
        <w:numPr>
          <w:ilvl w:val="0"/>
          <w:numId w:val="5"/>
        </w:numPr>
      </w:pPr>
      <w:r>
        <w:t>dagsetning</w:t>
      </w:r>
    </w:p>
    <w:p w14:paraId="0A261170" w14:textId="77777777" w:rsidR="0033356E" w:rsidRPr="003B1D9F" w:rsidRDefault="0033356E" w:rsidP="00271DCF">
      <w:pPr>
        <w:pStyle w:val="ListParagraph"/>
        <w:numPr>
          <w:ilvl w:val="0"/>
          <w:numId w:val="5"/>
        </w:numPr>
      </w:pPr>
      <w:r w:rsidRPr="003B1D9F">
        <w:t xml:space="preserve">gerð og stærð valta </w:t>
      </w:r>
    </w:p>
    <w:p w14:paraId="7177ADC5" w14:textId="77777777" w:rsidR="0033356E" w:rsidRPr="003B1D9F" w:rsidRDefault="0033356E" w:rsidP="00271DCF">
      <w:pPr>
        <w:pStyle w:val="ListParagraph"/>
        <w:numPr>
          <w:ilvl w:val="0"/>
          <w:numId w:val="5"/>
        </w:numPr>
      </w:pPr>
      <w:r w:rsidRPr="003B1D9F">
        <w:t xml:space="preserve">þyngd og breidd tromlu </w:t>
      </w:r>
    </w:p>
    <w:p w14:paraId="175249FB" w14:textId="3AF10E3D" w:rsidR="0033356E" w:rsidRPr="003B1D9F" w:rsidRDefault="0033356E" w:rsidP="00271DCF">
      <w:pPr>
        <w:pStyle w:val="ListParagraph"/>
        <w:numPr>
          <w:ilvl w:val="0"/>
          <w:numId w:val="5"/>
        </w:numPr>
      </w:pPr>
      <w:r w:rsidRPr="003B1D9F">
        <w:t>hvaða veg</w:t>
      </w:r>
      <w:r w:rsidR="008909E7">
        <w:t>arkafli</w:t>
      </w:r>
      <w:r w:rsidRPr="003B1D9F">
        <w:t xml:space="preserve"> var valtað</w:t>
      </w:r>
      <w:r w:rsidR="008909E7">
        <w:t>ur</w:t>
      </w:r>
      <w:r w:rsidRPr="003B1D9F">
        <w:t xml:space="preserve"> </w:t>
      </w:r>
    </w:p>
    <w:p w14:paraId="4AECD12A" w14:textId="77777777" w:rsidR="0033356E" w:rsidRPr="003B1D9F" w:rsidRDefault="0033356E" w:rsidP="00271DCF">
      <w:pPr>
        <w:pStyle w:val="ListParagraph"/>
        <w:numPr>
          <w:ilvl w:val="0"/>
          <w:numId w:val="5"/>
        </w:numPr>
      </w:pPr>
      <w:r w:rsidRPr="003B1D9F">
        <w:t xml:space="preserve">hvaða lag í vegi </w:t>
      </w:r>
    </w:p>
    <w:p w14:paraId="7A210DD3" w14:textId="77777777" w:rsidR="0033356E" w:rsidRPr="003B1D9F" w:rsidRDefault="0033356E" w:rsidP="00271DCF">
      <w:pPr>
        <w:pStyle w:val="ListParagraph"/>
        <w:numPr>
          <w:ilvl w:val="0"/>
          <w:numId w:val="5"/>
        </w:numPr>
      </w:pPr>
      <w:r w:rsidRPr="003B1D9F">
        <w:t>lagþykkt</w:t>
      </w:r>
    </w:p>
    <w:p w14:paraId="611C4220" w14:textId="77777777" w:rsidR="0033356E" w:rsidRPr="003B1D9F" w:rsidRDefault="0033356E" w:rsidP="00271DCF">
      <w:pPr>
        <w:pStyle w:val="ListParagraph"/>
        <w:numPr>
          <w:ilvl w:val="0"/>
          <w:numId w:val="5"/>
        </w:numPr>
      </w:pPr>
      <w:r w:rsidRPr="003B1D9F">
        <w:t>hraði valta</w:t>
      </w:r>
    </w:p>
    <w:p w14:paraId="1421A3D0" w14:textId="77777777" w:rsidR="0033356E" w:rsidRPr="003B1D9F" w:rsidRDefault="0033356E" w:rsidP="00271DCF">
      <w:pPr>
        <w:pStyle w:val="ListParagraph"/>
        <w:numPr>
          <w:ilvl w:val="0"/>
          <w:numId w:val="5"/>
        </w:numPr>
      </w:pPr>
      <w:r w:rsidRPr="003B1D9F">
        <w:t>fjöldi yfirferða.</w:t>
      </w:r>
    </w:p>
    <w:p w14:paraId="64ABC8F1" w14:textId="027CF6DD" w:rsidR="005727BA" w:rsidRDefault="005727BA" w:rsidP="00271DCF">
      <w:pPr>
        <w:rPr>
          <w:noProof/>
          <w:szCs w:val="24"/>
        </w:rPr>
      </w:pPr>
      <w:r>
        <w:rPr>
          <w:noProof/>
          <w:szCs w:val="24"/>
        </w:rPr>
        <w:lastRenderedPageBreak/>
        <w:t xml:space="preserve">Skila skal mælingu á hæð allra þjappaðra laga fyllingar. </w:t>
      </w:r>
    </w:p>
    <w:p w14:paraId="3FB299F7" w14:textId="77777777" w:rsidR="00001597" w:rsidRPr="00DF09DF" w:rsidRDefault="00001597" w:rsidP="00271DCF">
      <w:pPr>
        <w:rPr>
          <w:noProof/>
          <w:szCs w:val="24"/>
        </w:rPr>
      </w:pPr>
      <w:r w:rsidRPr="00DF09DF">
        <w:rPr>
          <w:noProof/>
          <w:szCs w:val="24"/>
        </w:rPr>
        <w:t>Öll stærri op og ójöfnur í yfirborði grjótfyllingar skal fylla með smátt sprengdu grjóti eða möl og þjappa vel áður en næsta lag er lagt.</w:t>
      </w:r>
    </w:p>
    <w:p w14:paraId="41C97CAF" w14:textId="0F172C51" w:rsidR="00001597" w:rsidRPr="00DF09DF" w:rsidRDefault="00001597" w:rsidP="00271DCF">
      <w:pPr>
        <w:rPr>
          <w:noProof/>
          <w:szCs w:val="24"/>
        </w:rPr>
      </w:pPr>
      <w:r w:rsidRPr="00DF09DF">
        <w:rPr>
          <w:noProof/>
          <w:szCs w:val="24"/>
        </w:rPr>
        <w:t>Ef leggja þarf síulag skal það þjappað í samræmi við fyrirmæli verkkaupa. Ef leggja þarf síudúk</w:t>
      </w:r>
      <w:r w:rsidRPr="00DF09DF">
        <w:rPr>
          <w:b/>
          <w:noProof/>
          <w:szCs w:val="24"/>
        </w:rPr>
        <w:t xml:space="preserve"> </w:t>
      </w:r>
      <w:r w:rsidRPr="00DF09DF">
        <w:rPr>
          <w:noProof/>
          <w:szCs w:val="24"/>
        </w:rPr>
        <w:t>skal leggja hann í samræmi við fyrirmæli og leiðbeiningar framleiðanda. Leggja skal síudúk og fyllingu yfir hann án þess að hann skemmist.</w:t>
      </w:r>
    </w:p>
    <w:p w14:paraId="69C12B40" w14:textId="1CDE08FF" w:rsidR="005459FA" w:rsidRDefault="00AF0A1A" w:rsidP="00271DCF">
      <w:pPr>
        <w:rPr>
          <w:noProof/>
        </w:rPr>
      </w:pPr>
      <w:r w:rsidRPr="002C7ED0">
        <w:t>Fyllingu skal leggja í lögum og þykkt hver</w:t>
      </w:r>
      <w:r w:rsidR="00185F74">
        <w:t>s lags ákvarðast m.a.</w:t>
      </w:r>
      <w:r w:rsidRPr="002C7ED0">
        <w:t xml:space="preserve"> af búnaði til þjöppunar. Hvert lag fyllingar nær yfir alla breidd hennar.</w:t>
      </w:r>
      <w:r>
        <w:t xml:space="preserve"> </w:t>
      </w:r>
      <w:r w:rsidR="00001597" w:rsidRPr="00DF09DF">
        <w:rPr>
          <w:noProof/>
        </w:rPr>
        <w:t>Verktaki skal leggja fram áætlun um verklag við</w:t>
      </w:r>
      <w:r>
        <w:rPr>
          <w:noProof/>
        </w:rPr>
        <w:t xml:space="preserve"> útlögn og</w:t>
      </w:r>
      <w:r w:rsidR="00001597" w:rsidRPr="00DF09DF">
        <w:rPr>
          <w:noProof/>
        </w:rPr>
        <w:t xml:space="preserve"> þjöppun, til samþykktar hjá verkkaupa. Áætlunin skal taka til tegunda tækja, fjölda yfirferða, lagþykkta og aðferða til að sannreyna þjöppunina. </w:t>
      </w:r>
      <w:r>
        <w:t>Valtar skulu vera með</w:t>
      </w:r>
      <w:r w:rsidRPr="002C7ED0">
        <w:t xml:space="preserve"> þjöppunarmæli</w:t>
      </w:r>
      <w:r w:rsidR="001C4647">
        <w:t xml:space="preserve"> og búnað til að telja umferðir valta</w:t>
      </w:r>
      <w:r w:rsidR="00C61923">
        <w:t xml:space="preserve"> og verktaki skal ávallt leggja fram mæligildi þjöppunarmælis </w:t>
      </w:r>
      <w:r w:rsidR="001C4647">
        <w:t>og gögnum um fjölda umferða.</w:t>
      </w:r>
      <w:r w:rsidRPr="002C7ED0">
        <w:t xml:space="preserve"> </w:t>
      </w:r>
      <w:r w:rsidR="00001597" w:rsidRPr="00DF09DF">
        <w:rPr>
          <w:noProof/>
        </w:rPr>
        <w:t>Hraði valta skal vera milli 3 og 6 km/klst</w:t>
      </w:r>
      <w:r w:rsidR="005459FA">
        <w:rPr>
          <w:noProof/>
        </w:rPr>
        <w:t>.</w:t>
      </w:r>
      <w:r w:rsidR="00001597" w:rsidRPr="00DF09DF">
        <w:rPr>
          <w:noProof/>
        </w:rPr>
        <w:t xml:space="preserve"> </w:t>
      </w:r>
    </w:p>
    <w:p w14:paraId="0432D3D4" w14:textId="0D0BEC6A" w:rsidR="00001597" w:rsidRPr="00DF09DF" w:rsidRDefault="008909E7" w:rsidP="00271DCF">
      <w:pPr>
        <w:rPr>
          <w:noProof/>
        </w:rPr>
      </w:pPr>
      <w:r>
        <w:rPr>
          <w:noProof/>
        </w:rPr>
        <w:t>E</w:t>
      </w:r>
      <w:r w:rsidR="00001597" w:rsidRPr="00DF09DF">
        <w:rPr>
          <w:noProof/>
        </w:rPr>
        <w:t xml:space="preserve">fni, sem er nothæft í fyllingu eða yfirbyggingu skal ekki nota í annað að óþörfu. Að öðrum kosti skal verktaki leggja til á eigin kostnað sama magn af jafngóðu efni eða betra. </w:t>
      </w:r>
    </w:p>
    <w:p w14:paraId="2CF528B6" w14:textId="77777777" w:rsidR="00001597" w:rsidRPr="00DF09DF" w:rsidRDefault="00001597" w:rsidP="00271DCF">
      <w:pPr>
        <w:rPr>
          <w:noProof/>
          <w:szCs w:val="24"/>
        </w:rPr>
      </w:pPr>
      <w:r w:rsidRPr="00DF09DF">
        <w:rPr>
          <w:noProof/>
          <w:szCs w:val="24"/>
        </w:rPr>
        <w:t xml:space="preserve">Ef efni, sem dæmt hefur verið nothæft sem fyllingarefni, er í eða kemst síðar í slíkt ástand, að það verður ónothæft og tekur ekki þjöppun, skal verktaki gera eitt af eftirfarandi atriðum á eigin kostnað: </w:t>
      </w:r>
    </w:p>
    <w:p w14:paraId="5427868A" w14:textId="77777777" w:rsidR="00001597" w:rsidRPr="00DF09DF" w:rsidRDefault="00001597" w:rsidP="00271DCF">
      <w:pPr>
        <w:rPr>
          <w:noProof/>
          <w:szCs w:val="24"/>
        </w:rPr>
      </w:pPr>
      <w:r w:rsidRPr="00DF09DF">
        <w:rPr>
          <w:noProof/>
          <w:szCs w:val="24"/>
        </w:rPr>
        <w:t>1)  Fjarlægja efnið úr fyllingunni (og geyma þar til það er komið í það ástand að nota megi það aftur) og fylla í staðinn með nothæfu efni.</w:t>
      </w:r>
    </w:p>
    <w:p w14:paraId="0B612D5C" w14:textId="48D72F5C" w:rsidR="00001597" w:rsidRPr="00DF09DF" w:rsidRDefault="00001597" w:rsidP="00271DCF">
      <w:pPr>
        <w:rPr>
          <w:noProof/>
          <w:szCs w:val="24"/>
        </w:rPr>
      </w:pPr>
      <w:r w:rsidRPr="00B90520">
        <w:rPr>
          <w:noProof/>
          <w:szCs w:val="24"/>
        </w:rPr>
        <w:t xml:space="preserve">2)  Bæta efnið með </w:t>
      </w:r>
      <w:r w:rsidR="00F60512" w:rsidRPr="00B90520">
        <w:rPr>
          <w:noProof/>
          <w:szCs w:val="24"/>
        </w:rPr>
        <w:t>tiltækum</w:t>
      </w:r>
      <w:r w:rsidRPr="00B90520">
        <w:rPr>
          <w:noProof/>
          <w:szCs w:val="24"/>
        </w:rPr>
        <w:t xml:space="preserve"> aðferðum til að auka</w:t>
      </w:r>
      <w:r w:rsidRPr="00DF09DF">
        <w:rPr>
          <w:noProof/>
          <w:szCs w:val="24"/>
        </w:rPr>
        <w:t xml:space="preserve"> stöðugleika þess.</w:t>
      </w:r>
    </w:p>
    <w:p w14:paraId="2A15D201" w14:textId="77777777" w:rsidR="00001597" w:rsidRPr="00DF09DF" w:rsidRDefault="00001597" w:rsidP="00271DCF">
      <w:pPr>
        <w:rPr>
          <w:noProof/>
        </w:rPr>
      </w:pPr>
      <w:r w:rsidRPr="00DF09DF">
        <w:rPr>
          <w:noProof/>
        </w:rPr>
        <w:t>3)  Bíða þar til ástand efnisins er aftur orðið slíkt, að unnt sé að jafna það og þjappa á þann hátt, sem krafist er í þessari verklýsingu.</w:t>
      </w:r>
    </w:p>
    <w:p w14:paraId="222630F4" w14:textId="77777777" w:rsidR="00001597" w:rsidRPr="00DF09DF" w:rsidRDefault="00001597" w:rsidP="00271DCF">
      <w:pPr>
        <w:rPr>
          <w:noProof/>
          <w:szCs w:val="24"/>
        </w:rPr>
      </w:pPr>
      <w:r w:rsidRPr="00DF09DF">
        <w:rPr>
          <w:noProof/>
          <w:szCs w:val="24"/>
        </w:rPr>
        <w:t>Efni sem er ónothæft í fyllingu eða yfirbyggingu skal nota í fláafleyga, jafna við hlið vegar eða flytja á losunarstaði. Jafna skal efninu út og það þjappað.</w:t>
      </w:r>
    </w:p>
    <w:p w14:paraId="2E30CA26" w14:textId="77777777" w:rsidR="00001597" w:rsidRDefault="00001597" w:rsidP="00271DCF">
      <w:pPr>
        <w:pStyle w:val="Li-fyrirsagnir"/>
      </w:pPr>
      <w:r w:rsidRPr="00271DCF">
        <w:t>d)</w:t>
      </w:r>
      <w:r w:rsidRPr="00271DCF">
        <w:tab/>
        <w:t>Prófanir, mælingar</w:t>
      </w:r>
    </w:p>
    <w:p w14:paraId="20C7CE8D" w14:textId="77777777" w:rsidR="00185F74" w:rsidRPr="00B90520" w:rsidRDefault="00F81015" w:rsidP="00F60512">
      <w:pPr>
        <w:rPr>
          <w:color w:val="FF0000"/>
        </w:rPr>
      </w:pPr>
      <w:r w:rsidRPr="00B90520">
        <w:rPr>
          <w:color w:val="FF0000"/>
        </w:rPr>
        <w:t>Efnisvinnsla eða framleiðsla efnis</w:t>
      </w:r>
    </w:p>
    <w:p w14:paraId="2C4BBA49" w14:textId="5F5643DC" w:rsidR="00F81015" w:rsidRPr="00B90520" w:rsidRDefault="00F81015" w:rsidP="00CC6976">
      <w:r w:rsidRPr="00B90520">
        <w:t xml:space="preserve">Ef fyllingarefnið er set skal verktaki framkvæma próf á kornadreifingu, </w:t>
      </w:r>
      <w:r w:rsidR="008E013F" w:rsidRPr="00B90520">
        <w:t xml:space="preserve">próf eða sjónmat á </w:t>
      </w:r>
      <w:r w:rsidRPr="00B90520">
        <w:t xml:space="preserve">rakastigi og magni lífrænna óhreininda við upphaf framleiðslu og endurtaka prófanir ef sjónmat bendir til að efnisgæði hafi breyst verulega. </w:t>
      </w:r>
    </w:p>
    <w:p w14:paraId="70364BCC" w14:textId="77777777" w:rsidR="00CC6976" w:rsidRPr="00B90520" w:rsidRDefault="00CC6976" w:rsidP="00CC6976">
      <w:pPr>
        <w:rPr>
          <w:color w:val="FF0000"/>
        </w:rPr>
      </w:pPr>
      <w:r w:rsidRPr="00B90520">
        <w:rPr>
          <w:color w:val="FF0000"/>
        </w:rPr>
        <w:t>Útlögn</w:t>
      </w:r>
    </w:p>
    <w:p w14:paraId="6E06C3AC" w14:textId="631884D7" w:rsidR="00001597" w:rsidRPr="00DF09DF" w:rsidRDefault="00001597" w:rsidP="00271DCF">
      <w:pPr>
        <w:rPr>
          <w:noProof/>
          <w:szCs w:val="24"/>
        </w:rPr>
      </w:pPr>
      <w:r w:rsidRPr="00271DCF">
        <w:t>Sýna skal fram á þjöppun efnis með eftirtöldum aðferðum</w:t>
      </w:r>
      <w:r w:rsidRPr="00DF09DF">
        <w:rPr>
          <w:noProof/>
          <w:szCs w:val="24"/>
        </w:rPr>
        <w:t>:</w:t>
      </w:r>
    </w:p>
    <w:p w14:paraId="4164F739" w14:textId="13D3501B" w:rsidR="00C858FD" w:rsidRPr="00DF09DF" w:rsidRDefault="00B90520" w:rsidP="00B90520">
      <w:pPr>
        <w:pStyle w:val="abcflokkar"/>
        <w:spacing w:after="0"/>
        <w:rPr>
          <w:noProof/>
          <w:sz w:val="24"/>
          <w:szCs w:val="24"/>
        </w:rPr>
      </w:pPr>
      <w:r>
        <w:rPr>
          <w:sz w:val="24"/>
          <w:szCs w:val="24"/>
        </w:rPr>
        <w:t>Þ</w:t>
      </w:r>
      <w:r w:rsidR="00001597" w:rsidRPr="00DF09DF">
        <w:rPr>
          <w:sz w:val="24"/>
          <w:szCs w:val="24"/>
        </w:rPr>
        <w:t xml:space="preserve">jöppunartilhögun er í samræmi við </w:t>
      </w:r>
      <w:r w:rsidR="00BF7456">
        <w:rPr>
          <w:sz w:val="24"/>
          <w:szCs w:val="24"/>
        </w:rPr>
        <w:t xml:space="preserve">neðangreinda </w:t>
      </w:r>
      <w:r w:rsidR="00001597" w:rsidRPr="00DF09DF">
        <w:rPr>
          <w:sz w:val="24"/>
          <w:szCs w:val="24"/>
        </w:rPr>
        <w:t>töflu um val valta, efnisgerð, lagþykkt og fjölda yfirferða.</w:t>
      </w:r>
      <w:r w:rsidR="00C858FD" w:rsidRPr="00C858FD">
        <w:rPr>
          <w:sz w:val="24"/>
          <w:szCs w:val="24"/>
        </w:rPr>
        <w:t xml:space="preserve"> </w:t>
      </w:r>
      <w:r>
        <w:rPr>
          <w:sz w:val="24"/>
          <w:szCs w:val="24"/>
        </w:rPr>
        <w:t>Sýna skal fram</w:t>
      </w:r>
      <w:r w:rsidR="00C858FD" w:rsidRPr="00DF09DF">
        <w:rPr>
          <w:sz w:val="24"/>
          <w:szCs w:val="24"/>
        </w:rPr>
        <w:t xml:space="preserve"> á fjölda yfirferða við þjöppun</w:t>
      </w:r>
      <w:r>
        <w:rPr>
          <w:sz w:val="24"/>
          <w:szCs w:val="24"/>
        </w:rPr>
        <w:t xml:space="preserve"> með </w:t>
      </w:r>
      <w:r w:rsidR="007E5538">
        <w:rPr>
          <w:sz w:val="24"/>
          <w:szCs w:val="24"/>
        </w:rPr>
        <w:t xml:space="preserve">rafrænum </w:t>
      </w:r>
      <w:r>
        <w:rPr>
          <w:sz w:val="24"/>
          <w:szCs w:val="24"/>
        </w:rPr>
        <w:t>gögnum úr búnaði í valta</w:t>
      </w:r>
      <w:r w:rsidR="00C858FD" w:rsidRPr="00DF09DF">
        <w:rPr>
          <w:sz w:val="24"/>
          <w:szCs w:val="24"/>
        </w:rPr>
        <w:t>.</w:t>
      </w:r>
    </w:p>
    <w:p w14:paraId="596D1C06" w14:textId="77777777" w:rsidR="00001597" w:rsidRPr="00DF09DF" w:rsidRDefault="00001597" w:rsidP="00B90520">
      <w:pPr>
        <w:pStyle w:val="abcflokkar"/>
        <w:ind w:left="0"/>
        <w:rPr>
          <w:noProof/>
          <w:sz w:val="24"/>
          <w:szCs w:val="24"/>
        </w:rPr>
      </w:pPr>
    </w:p>
    <w:tbl>
      <w:tblPr>
        <w:tblW w:w="879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1624"/>
        <w:gridCol w:w="2127"/>
        <w:gridCol w:w="993"/>
        <w:gridCol w:w="1134"/>
        <w:gridCol w:w="1134"/>
        <w:gridCol w:w="1134"/>
      </w:tblGrid>
      <w:tr w:rsidR="003B531E" w:rsidRPr="00B06B7F" w14:paraId="743B327F" w14:textId="77777777" w:rsidTr="008E013F">
        <w:trPr>
          <w:cantSplit/>
          <w:trHeight w:val="674"/>
        </w:trPr>
        <w:tc>
          <w:tcPr>
            <w:tcW w:w="2268" w:type="dxa"/>
            <w:gridSpan w:val="2"/>
          </w:tcPr>
          <w:p w14:paraId="49D8F59C" w14:textId="77777777" w:rsidR="003B531E" w:rsidRPr="00B06B7F" w:rsidRDefault="003B531E" w:rsidP="002979E2">
            <w:pPr>
              <w:pStyle w:val="BodyTextIndent2"/>
              <w:spacing w:after="0"/>
              <w:ind w:hanging="851"/>
              <w:jc w:val="center"/>
              <w:rPr>
                <w:b/>
                <w:bCs/>
                <w:sz w:val="22"/>
              </w:rPr>
            </w:pPr>
            <w:r w:rsidRPr="00B06B7F">
              <w:rPr>
                <w:b/>
                <w:bCs/>
                <w:sz w:val="22"/>
              </w:rPr>
              <w:lastRenderedPageBreak/>
              <w:t>Fyllingarefni</w:t>
            </w:r>
          </w:p>
        </w:tc>
        <w:tc>
          <w:tcPr>
            <w:tcW w:w="2127" w:type="dxa"/>
          </w:tcPr>
          <w:p w14:paraId="23533CF0" w14:textId="77777777" w:rsidR="003B531E" w:rsidRPr="00B06B7F" w:rsidRDefault="003B531E" w:rsidP="002979E2">
            <w:pPr>
              <w:pStyle w:val="BodyTextIndent2"/>
              <w:spacing w:after="0"/>
              <w:ind w:hanging="851"/>
              <w:jc w:val="center"/>
              <w:rPr>
                <w:b/>
                <w:bCs/>
                <w:sz w:val="22"/>
              </w:rPr>
            </w:pPr>
            <w:r w:rsidRPr="00B06B7F">
              <w:rPr>
                <w:b/>
                <w:bCs/>
                <w:sz w:val="22"/>
              </w:rPr>
              <w:t>Tæki</w:t>
            </w:r>
          </w:p>
        </w:tc>
        <w:tc>
          <w:tcPr>
            <w:tcW w:w="993" w:type="dxa"/>
          </w:tcPr>
          <w:p w14:paraId="4B557FCE" w14:textId="77777777" w:rsidR="000858B3" w:rsidRDefault="003B531E" w:rsidP="003B531E">
            <w:pPr>
              <w:pStyle w:val="BodyTextIndent2"/>
              <w:spacing w:after="0"/>
              <w:ind w:left="35" w:hanging="35"/>
              <w:jc w:val="center"/>
              <w:rPr>
                <w:b/>
              </w:rPr>
            </w:pPr>
            <w:r w:rsidRPr="003B531E">
              <w:rPr>
                <w:b/>
              </w:rPr>
              <w:t>Stöðu</w:t>
            </w:r>
            <w:r w:rsidR="000858B3">
              <w:rPr>
                <w:b/>
              </w:rPr>
              <w:t>-</w:t>
            </w:r>
          </w:p>
          <w:p w14:paraId="2A14D9A7" w14:textId="77777777" w:rsidR="000858B3" w:rsidRDefault="003B531E" w:rsidP="003B531E">
            <w:pPr>
              <w:pStyle w:val="BodyTextIndent2"/>
              <w:spacing w:after="0"/>
              <w:ind w:left="35" w:hanging="35"/>
              <w:jc w:val="center"/>
              <w:rPr>
                <w:b/>
              </w:rPr>
            </w:pPr>
            <w:r w:rsidRPr="003B531E">
              <w:rPr>
                <w:b/>
              </w:rPr>
              <w:t xml:space="preserve">álag </w:t>
            </w:r>
          </w:p>
          <w:p w14:paraId="7CEEB102" w14:textId="58434F92" w:rsidR="003B531E" w:rsidRPr="003B531E" w:rsidRDefault="003B531E" w:rsidP="003B531E">
            <w:pPr>
              <w:pStyle w:val="BodyTextIndent2"/>
              <w:spacing w:after="0"/>
              <w:ind w:left="35" w:hanging="35"/>
              <w:jc w:val="center"/>
              <w:rPr>
                <w:b/>
                <w:bCs/>
                <w:sz w:val="22"/>
              </w:rPr>
            </w:pPr>
            <w:proofErr w:type="spellStart"/>
            <w:r w:rsidRPr="003B531E">
              <w:rPr>
                <w:b/>
              </w:rPr>
              <w:t>kN</w:t>
            </w:r>
            <w:proofErr w:type="spellEnd"/>
            <w:r w:rsidRPr="003B531E">
              <w:rPr>
                <w:b/>
              </w:rPr>
              <w:t>/m</w:t>
            </w:r>
          </w:p>
        </w:tc>
        <w:tc>
          <w:tcPr>
            <w:tcW w:w="1134" w:type="dxa"/>
          </w:tcPr>
          <w:p w14:paraId="6C0995A8" w14:textId="77777777" w:rsidR="000858B3" w:rsidRDefault="003B531E" w:rsidP="002979E2">
            <w:pPr>
              <w:pStyle w:val="BodyTextIndent2"/>
              <w:spacing w:after="0"/>
              <w:ind w:hanging="851"/>
              <w:jc w:val="center"/>
              <w:rPr>
                <w:b/>
                <w:bCs/>
                <w:sz w:val="22"/>
              </w:rPr>
            </w:pPr>
            <w:r w:rsidRPr="00B06B7F">
              <w:rPr>
                <w:b/>
                <w:bCs/>
                <w:sz w:val="22"/>
              </w:rPr>
              <w:t>Heildar</w:t>
            </w:r>
          </w:p>
          <w:p w14:paraId="46BF38A7" w14:textId="77777777" w:rsidR="003B531E" w:rsidRPr="00B06B7F" w:rsidRDefault="003B531E" w:rsidP="002979E2">
            <w:pPr>
              <w:pStyle w:val="BodyTextIndent2"/>
              <w:spacing w:after="0"/>
              <w:ind w:hanging="851"/>
              <w:jc w:val="center"/>
              <w:rPr>
                <w:b/>
                <w:bCs/>
                <w:sz w:val="22"/>
              </w:rPr>
            </w:pPr>
            <w:r w:rsidRPr="00B06B7F">
              <w:rPr>
                <w:b/>
                <w:bCs/>
                <w:sz w:val="22"/>
              </w:rPr>
              <w:t>þyngd</w:t>
            </w:r>
          </w:p>
          <w:p w14:paraId="30ED4ACA" w14:textId="77777777" w:rsidR="003B531E" w:rsidRPr="00B06B7F" w:rsidRDefault="003B531E" w:rsidP="002979E2">
            <w:pPr>
              <w:pStyle w:val="BodyTextIndent2"/>
              <w:spacing w:after="0"/>
              <w:ind w:hanging="851"/>
              <w:jc w:val="center"/>
              <w:rPr>
                <w:b/>
                <w:bCs/>
                <w:sz w:val="22"/>
              </w:rPr>
            </w:pPr>
            <w:r w:rsidRPr="00B06B7F">
              <w:rPr>
                <w:b/>
                <w:bCs/>
                <w:sz w:val="22"/>
              </w:rPr>
              <w:t>(tonn)</w:t>
            </w:r>
          </w:p>
        </w:tc>
        <w:tc>
          <w:tcPr>
            <w:tcW w:w="1134" w:type="dxa"/>
          </w:tcPr>
          <w:p w14:paraId="1A5B0558" w14:textId="77777777" w:rsidR="000858B3" w:rsidRDefault="003B531E" w:rsidP="002979E2">
            <w:pPr>
              <w:pStyle w:val="BodyTextIndent2"/>
              <w:spacing w:after="0"/>
              <w:ind w:hanging="851"/>
              <w:jc w:val="center"/>
              <w:rPr>
                <w:b/>
                <w:bCs/>
                <w:sz w:val="22"/>
              </w:rPr>
            </w:pPr>
            <w:r w:rsidRPr="00B06B7F">
              <w:rPr>
                <w:b/>
                <w:bCs/>
                <w:sz w:val="22"/>
              </w:rPr>
              <w:t>Lag</w:t>
            </w:r>
            <w:r w:rsidR="000858B3">
              <w:rPr>
                <w:b/>
                <w:bCs/>
                <w:sz w:val="22"/>
              </w:rPr>
              <w:t xml:space="preserve">- </w:t>
            </w:r>
          </w:p>
          <w:p w14:paraId="30E8D244" w14:textId="77777777" w:rsidR="003B531E" w:rsidRPr="00B06B7F" w:rsidRDefault="003B531E" w:rsidP="002979E2">
            <w:pPr>
              <w:pStyle w:val="BodyTextIndent2"/>
              <w:spacing w:after="0"/>
              <w:ind w:hanging="851"/>
              <w:jc w:val="center"/>
              <w:rPr>
                <w:b/>
                <w:bCs/>
                <w:sz w:val="22"/>
              </w:rPr>
            </w:pPr>
            <w:r w:rsidRPr="00B06B7F">
              <w:rPr>
                <w:b/>
                <w:bCs/>
                <w:sz w:val="22"/>
              </w:rPr>
              <w:t xml:space="preserve">þykktir </w:t>
            </w:r>
          </w:p>
          <w:p w14:paraId="6ED7579D" w14:textId="77777777" w:rsidR="003B531E" w:rsidRPr="00B06B7F" w:rsidRDefault="003B531E" w:rsidP="002979E2">
            <w:pPr>
              <w:pStyle w:val="BodyTextIndent2"/>
              <w:spacing w:after="0"/>
              <w:ind w:hanging="851"/>
              <w:jc w:val="center"/>
              <w:rPr>
                <w:b/>
                <w:bCs/>
                <w:sz w:val="22"/>
              </w:rPr>
            </w:pPr>
            <w:r w:rsidRPr="00B06B7F">
              <w:rPr>
                <w:b/>
                <w:bCs/>
                <w:sz w:val="22"/>
              </w:rPr>
              <w:t>(mm)</w:t>
            </w:r>
          </w:p>
        </w:tc>
        <w:tc>
          <w:tcPr>
            <w:tcW w:w="1134" w:type="dxa"/>
          </w:tcPr>
          <w:p w14:paraId="564904DD" w14:textId="77777777" w:rsidR="003B531E" w:rsidRPr="00B06B7F" w:rsidRDefault="003B531E" w:rsidP="002979E2">
            <w:pPr>
              <w:pStyle w:val="BodyTextIndent2"/>
              <w:spacing w:after="0"/>
              <w:ind w:hanging="851"/>
              <w:jc w:val="center"/>
              <w:rPr>
                <w:b/>
                <w:bCs/>
                <w:sz w:val="22"/>
              </w:rPr>
            </w:pPr>
            <w:r w:rsidRPr="00B06B7F">
              <w:rPr>
                <w:b/>
                <w:bCs/>
                <w:sz w:val="22"/>
              </w:rPr>
              <w:t xml:space="preserve">Fjöldi </w:t>
            </w:r>
          </w:p>
          <w:p w14:paraId="4A4C829A" w14:textId="77777777" w:rsidR="003B531E" w:rsidRPr="00B06B7F" w:rsidRDefault="003B531E" w:rsidP="002979E2">
            <w:pPr>
              <w:pStyle w:val="BodyTextIndent2"/>
              <w:spacing w:after="0"/>
              <w:ind w:hanging="851"/>
              <w:jc w:val="center"/>
              <w:rPr>
                <w:b/>
                <w:bCs/>
                <w:sz w:val="22"/>
              </w:rPr>
            </w:pPr>
            <w:r w:rsidRPr="00B06B7F">
              <w:rPr>
                <w:b/>
                <w:bCs/>
                <w:sz w:val="22"/>
              </w:rPr>
              <w:t>yfirferða</w:t>
            </w:r>
          </w:p>
        </w:tc>
      </w:tr>
      <w:tr w:rsidR="003B531E" w:rsidRPr="00B06B7F" w14:paraId="33AD5EF3" w14:textId="77777777" w:rsidTr="008E013F">
        <w:trPr>
          <w:cantSplit/>
        </w:trPr>
        <w:tc>
          <w:tcPr>
            <w:tcW w:w="644" w:type="dxa"/>
            <w:vMerge w:val="restart"/>
            <w:vAlign w:val="center"/>
          </w:tcPr>
          <w:p w14:paraId="1E0D2933" w14:textId="77777777" w:rsidR="003B531E" w:rsidRPr="00B06B7F" w:rsidRDefault="003B531E" w:rsidP="003B531E">
            <w:pPr>
              <w:pStyle w:val="BodyTextIndent2"/>
              <w:spacing w:after="0"/>
              <w:ind w:hanging="851"/>
              <w:jc w:val="both"/>
              <w:rPr>
                <w:sz w:val="22"/>
              </w:rPr>
            </w:pPr>
            <w:r w:rsidRPr="00B06B7F">
              <w:rPr>
                <w:sz w:val="22"/>
              </w:rPr>
              <w:t>Berg</w:t>
            </w:r>
          </w:p>
        </w:tc>
        <w:tc>
          <w:tcPr>
            <w:tcW w:w="1624" w:type="dxa"/>
            <w:vMerge w:val="restart"/>
            <w:vAlign w:val="center"/>
          </w:tcPr>
          <w:p w14:paraId="79F25520" w14:textId="77777777" w:rsidR="003B531E" w:rsidRPr="00B06B7F" w:rsidRDefault="003B531E" w:rsidP="003B531E">
            <w:pPr>
              <w:pStyle w:val="BodyTextIndent2"/>
              <w:spacing w:after="0"/>
              <w:ind w:hanging="851"/>
              <w:jc w:val="both"/>
              <w:rPr>
                <w:sz w:val="22"/>
              </w:rPr>
            </w:pPr>
            <w:r w:rsidRPr="00B06B7F">
              <w:rPr>
                <w:sz w:val="22"/>
              </w:rPr>
              <w:t>Grjót og hraun</w:t>
            </w:r>
          </w:p>
        </w:tc>
        <w:tc>
          <w:tcPr>
            <w:tcW w:w="2127" w:type="dxa"/>
            <w:vMerge w:val="restart"/>
            <w:vAlign w:val="center"/>
          </w:tcPr>
          <w:p w14:paraId="60B8B764" w14:textId="77777777" w:rsidR="003B531E" w:rsidRPr="00B06B7F" w:rsidRDefault="003B531E" w:rsidP="003B531E">
            <w:pPr>
              <w:pStyle w:val="BodyTextIndent2"/>
              <w:spacing w:after="0"/>
              <w:ind w:hanging="851"/>
              <w:rPr>
                <w:sz w:val="22"/>
              </w:rPr>
            </w:pPr>
            <w:proofErr w:type="spellStart"/>
            <w:r w:rsidRPr="00B06B7F">
              <w:rPr>
                <w:sz w:val="22"/>
              </w:rPr>
              <w:t>Titurvalti</w:t>
            </w:r>
            <w:proofErr w:type="spellEnd"/>
          </w:p>
        </w:tc>
        <w:tc>
          <w:tcPr>
            <w:tcW w:w="993" w:type="dxa"/>
            <w:vAlign w:val="center"/>
          </w:tcPr>
          <w:p w14:paraId="29606074" w14:textId="2E586AF5" w:rsidR="003B531E" w:rsidRPr="00B06B7F" w:rsidRDefault="003B531E" w:rsidP="003B531E">
            <w:pPr>
              <w:pStyle w:val="BodyTextIndent2"/>
              <w:spacing w:after="0"/>
              <w:ind w:hanging="851"/>
              <w:jc w:val="center"/>
              <w:rPr>
                <w:sz w:val="22"/>
              </w:rPr>
            </w:pPr>
            <w:r w:rsidRPr="00B06B7F">
              <w:rPr>
                <w:sz w:val="22"/>
              </w:rPr>
              <w:t>&gt;</w:t>
            </w:r>
            <w:r w:rsidR="00631C4E">
              <w:rPr>
                <w:sz w:val="22"/>
              </w:rPr>
              <w:t xml:space="preserve"> </w:t>
            </w:r>
            <w:r>
              <w:rPr>
                <w:sz w:val="22"/>
              </w:rPr>
              <w:t>45</w:t>
            </w:r>
          </w:p>
        </w:tc>
        <w:tc>
          <w:tcPr>
            <w:tcW w:w="1134" w:type="dxa"/>
            <w:vAlign w:val="center"/>
          </w:tcPr>
          <w:p w14:paraId="716115E8" w14:textId="77777777" w:rsidR="003B531E" w:rsidRPr="00B06B7F" w:rsidRDefault="003B531E" w:rsidP="003B531E">
            <w:pPr>
              <w:pStyle w:val="BodyTextIndent2"/>
              <w:spacing w:after="0"/>
              <w:ind w:hanging="851"/>
              <w:jc w:val="center"/>
              <w:rPr>
                <w:sz w:val="22"/>
              </w:rPr>
            </w:pPr>
          </w:p>
        </w:tc>
        <w:tc>
          <w:tcPr>
            <w:tcW w:w="1134" w:type="dxa"/>
            <w:vAlign w:val="center"/>
          </w:tcPr>
          <w:p w14:paraId="34926855" w14:textId="1BB7EF90" w:rsidR="003B531E" w:rsidRPr="00B06B7F" w:rsidRDefault="008C7D13" w:rsidP="008C7D13">
            <w:pPr>
              <w:pStyle w:val="BodyTextIndent2"/>
              <w:spacing w:after="0"/>
              <w:ind w:hanging="851"/>
              <w:jc w:val="center"/>
              <w:rPr>
                <w:sz w:val="22"/>
              </w:rPr>
            </w:pPr>
            <w:r>
              <w:rPr>
                <w:sz w:val="22"/>
              </w:rPr>
              <w:t>&gt;</w:t>
            </w:r>
            <w:r w:rsidR="00631C4E">
              <w:rPr>
                <w:sz w:val="22"/>
              </w:rPr>
              <w:t xml:space="preserve"> </w:t>
            </w:r>
            <w:r>
              <w:rPr>
                <w:sz w:val="22"/>
              </w:rPr>
              <w:t>2000</w:t>
            </w:r>
          </w:p>
        </w:tc>
        <w:tc>
          <w:tcPr>
            <w:tcW w:w="1134" w:type="dxa"/>
            <w:vAlign w:val="center"/>
          </w:tcPr>
          <w:p w14:paraId="6FB952E0" w14:textId="77777777" w:rsidR="003B531E" w:rsidRPr="00B06B7F" w:rsidRDefault="008C7D13" w:rsidP="003B531E">
            <w:pPr>
              <w:pStyle w:val="BodyTextIndent2"/>
              <w:spacing w:after="0"/>
              <w:ind w:hanging="851"/>
              <w:jc w:val="center"/>
              <w:rPr>
                <w:sz w:val="22"/>
              </w:rPr>
            </w:pPr>
            <w:r>
              <w:rPr>
                <w:sz w:val="22"/>
              </w:rPr>
              <w:t>6-</w:t>
            </w:r>
            <w:r w:rsidR="003B531E" w:rsidRPr="00B06B7F">
              <w:rPr>
                <w:sz w:val="22"/>
              </w:rPr>
              <w:t>10</w:t>
            </w:r>
          </w:p>
        </w:tc>
      </w:tr>
      <w:tr w:rsidR="003B531E" w:rsidRPr="00B06B7F" w14:paraId="44BF78C6" w14:textId="77777777" w:rsidTr="008E013F">
        <w:trPr>
          <w:cantSplit/>
        </w:trPr>
        <w:tc>
          <w:tcPr>
            <w:tcW w:w="644" w:type="dxa"/>
            <w:vMerge/>
            <w:vAlign w:val="center"/>
          </w:tcPr>
          <w:p w14:paraId="1D20689F" w14:textId="77777777" w:rsidR="003B531E" w:rsidRPr="00B06B7F" w:rsidRDefault="003B531E" w:rsidP="003B531E">
            <w:pPr>
              <w:pStyle w:val="BodyTextIndent2"/>
              <w:spacing w:after="0"/>
              <w:ind w:hanging="851"/>
              <w:jc w:val="both"/>
              <w:rPr>
                <w:sz w:val="22"/>
              </w:rPr>
            </w:pPr>
          </w:p>
        </w:tc>
        <w:tc>
          <w:tcPr>
            <w:tcW w:w="1624" w:type="dxa"/>
            <w:vMerge/>
            <w:vAlign w:val="center"/>
          </w:tcPr>
          <w:p w14:paraId="7F5A5527" w14:textId="77777777" w:rsidR="003B531E" w:rsidRPr="00B06B7F" w:rsidRDefault="003B531E" w:rsidP="003B531E">
            <w:pPr>
              <w:pStyle w:val="BodyTextIndent2"/>
              <w:spacing w:after="0"/>
              <w:ind w:hanging="851"/>
              <w:jc w:val="both"/>
              <w:rPr>
                <w:sz w:val="22"/>
              </w:rPr>
            </w:pPr>
          </w:p>
        </w:tc>
        <w:tc>
          <w:tcPr>
            <w:tcW w:w="2127" w:type="dxa"/>
            <w:vMerge/>
            <w:vAlign w:val="center"/>
          </w:tcPr>
          <w:p w14:paraId="4781BE9D" w14:textId="77777777" w:rsidR="003B531E" w:rsidRPr="00B06B7F" w:rsidRDefault="003B531E" w:rsidP="003B531E">
            <w:pPr>
              <w:pStyle w:val="BodyTextIndent2"/>
              <w:spacing w:after="0"/>
              <w:ind w:hanging="851"/>
              <w:jc w:val="center"/>
              <w:rPr>
                <w:sz w:val="22"/>
              </w:rPr>
            </w:pPr>
          </w:p>
        </w:tc>
        <w:tc>
          <w:tcPr>
            <w:tcW w:w="993" w:type="dxa"/>
            <w:vAlign w:val="center"/>
          </w:tcPr>
          <w:p w14:paraId="577A7A34" w14:textId="6D3321C3" w:rsidR="003B531E" w:rsidRPr="00B06B7F" w:rsidRDefault="003B531E" w:rsidP="003B531E">
            <w:pPr>
              <w:pStyle w:val="BodyTextIndent2"/>
              <w:spacing w:after="0"/>
              <w:ind w:hanging="851"/>
              <w:jc w:val="center"/>
              <w:rPr>
                <w:sz w:val="22"/>
              </w:rPr>
            </w:pPr>
            <w:r w:rsidRPr="00B06B7F">
              <w:rPr>
                <w:sz w:val="22"/>
              </w:rPr>
              <w:t>&gt;</w:t>
            </w:r>
            <w:r w:rsidR="00631C4E">
              <w:rPr>
                <w:sz w:val="22"/>
              </w:rPr>
              <w:t xml:space="preserve"> </w:t>
            </w:r>
            <w:r>
              <w:rPr>
                <w:sz w:val="22"/>
              </w:rPr>
              <w:t>30</w:t>
            </w:r>
          </w:p>
        </w:tc>
        <w:tc>
          <w:tcPr>
            <w:tcW w:w="1134" w:type="dxa"/>
            <w:vAlign w:val="center"/>
          </w:tcPr>
          <w:p w14:paraId="10AF0FAF" w14:textId="77777777" w:rsidR="003B531E" w:rsidRPr="00B06B7F" w:rsidRDefault="003B531E" w:rsidP="003B531E">
            <w:pPr>
              <w:pStyle w:val="BodyTextIndent2"/>
              <w:spacing w:after="0"/>
              <w:ind w:hanging="851"/>
              <w:jc w:val="center"/>
              <w:rPr>
                <w:sz w:val="22"/>
              </w:rPr>
            </w:pPr>
          </w:p>
        </w:tc>
        <w:tc>
          <w:tcPr>
            <w:tcW w:w="1134" w:type="dxa"/>
            <w:vAlign w:val="center"/>
          </w:tcPr>
          <w:p w14:paraId="26F96A8B" w14:textId="77777777" w:rsidR="003B531E" w:rsidRPr="00B06B7F" w:rsidRDefault="003B531E" w:rsidP="008C7D13">
            <w:pPr>
              <w:pStyle w:val="BodyTextIndent2"/>
              <w:spacing w:after="0"/>
              <w:ind w:hanging="851"/>
              <w:jc w:val="center"/>
              <w:rPr>
                <w:sz w:val="22"/>
              </w:rPr>
            </w:pPr>
            <w:r w:rsidRPr="00B06B7F">
              <w:rPr>
                <w:sz w:val="22"/>
              </w:rPr>
              <w:t>500-</w:t>
            </w:r>
            <w:r w:rsidR="008C7D13">
              <w:rPr>
                <w:sz w:val="22"/>
              </w:rPr>
              <w:t>2</w:t>
            </w:r>
            <w:r w:rsidRPr="00B06B7F">
              <w:rPr>
                <w:sz w:val="22"/>
              </w:rPr>
              <w:t>000</w:t>
            </w:r>
          </w:p>
        </w:tc>
        <w:tc>
          <w:tcPr>
            <w:tcW w:w="1134" w:type="dxa"/>
            <w:vAlign w:val="center"/>
          </w:tcPr>
          <w:p w14:paraId="4979124A" w14:textId="77777777" w:rsidR="003B531E" w:rsidRPr="00B06B7F" w:rsidRDefault="008C7D13" w:rsidP="003B531E">
            <w:pPr>
              <w:pStyle w:val="BodyTextIndent2"/>
              <w:spacing w:after="0"/>
              <w:ind w:hanging="851"/>
              <w:jc w:val="center"/>
              <w:rPr>
                <w:sz w:val="22"/>
              </w:rPr>
            </w:pPr>
            <w:r>
              <w:rPr>
                <w:sz w:val="22"/>
              </w:rPr>
              <w:t>4-6</w:t>
            </w:r>
          </w:p>
        </w:tc>
      </w:tr>
      <w:tr w:rsidR="000858B3" w:rsidRPr="00B06B7F" w14:paraId="0CFBFF46" w14:textId="77777777" w:rsidTr="008E013F">
        <w:trPr>
          <w:cantSplit/>
          <w:trHeight w:val="372"/>
        </w:trPr>
        <w:tc>
          <w:tcPr>
            <w:tcW w:w="644" w:type="dxa"/>
            <w:vMerge w:val="restart"/>
            <w:vAlign w:val="center"/>
          </w:tcPr>
          <w:p w14:paraId="0089203F" w14:textId="77777777" w:rsidR="000858B3" w:rsidRPr="00B06B7F" w:rsidRDefault="000858B3" w:rsidP="003B531E">
            <w:pPr>
              <w:pStyle w:val="BodyTextIndent2"/>
              <w:spacing w:after="0"/>
              <w:ind w:hanging="851"/>
              <w:jc w:val="both"/>
              <w:rPr>
                <w:sz w:val="22"/>
              </w:rPr>
            </w:pPr>
            <w:r w:rsidRPr="00B06B7F">
              <w:rPr>
                <w:sz w:val="22"/>
              </w:rPr>
              <w:t>Set</w:t>
            </w:r>
          </w:p>
        </w:tc>
        <w:tc>
          <w:tcPr>
            <w:tcW w:w="1624" w:type="dxa"/>
            <w:vAlign w:val="center"/>
          </w:tcPr>
          <w:p w14:paraId="27A6BBF9" w14:textId="77777777" w:rsidR="000858B3" w:rsidRPr="00B06B7F" w:rsidRDefault="000858B3" w:rsidP="003B531E">
            <w:pPr>
              <w:pStyle w:val="BodyTextIndent2"/>
              <w:spacing w:after="0"/>
              <w:ind w:hanging="851"/>
              <w:jc w:val="both"/>
              <w:rPr>
                <w:sz w:val="22"/>
              </w:rPr>
            </w:pPr>
            <w:r w:rsidRPr="00B06B7F">
              <w:rPr>
                <w:sz w:val="22"/>
              </w:rPr>
              <w:t>Möl og sandur</w:t>
            </w:r>
          </w:p>
        </w:tc>
        <w:tc>
          <w:tcPr>
            <w:tcW w:w="2127" w:type="dxa"/>
            <w:vAlign w:val="center"/>
          </w:tcPr>
          <w:p w14:paraId="428603F1" w14:textId="29507A65" w:rsidR="000858B3" w:rsidRPr="00B06B7F" w:rsidRDefault="000858B3" w:rsidP="000858B3">
            <w:pPr>
              <w:pStyle w:val="BodyTextIndent2"/>
              <w:spacing w:after="0"/>
              <w:ind w:hanging="851"/>
              <w:rPr>
                <w:sz w:val="22"/>
              </w:rPr>
            </w:pPr>
            <w:proofErr w:type="spellStart"/>
            <w:r>
              <w:rPr>
                <w:sz w:val="22"/>
              </w:rPr>
              <w:t>Titu</w:t>
            </w:r>
            <w:r w:rsidR="00CC6976">
              <w:rPr>
                <w:sz w:val="22"/>
              </w:rPr>
              <w:t>r</w:t>
            </w:r>
            <w:r>
              <w:rPr>
                <w:sz w:val="22"/>
              </w:rPr>
              <w:t>valti</w:t>
            </w:r>
            <w:proofErr w:type="spellEnd"/>
          </w:p>
        </w:tc>
        <w:tc>
          <w:tcPr>
            <w:tcW w:w="993" w:type="dxa"/>
            <w:vAlign w:val="center"/>
          </w:tcPr>
          <w:p w14:paraId="2A521AA4" w14:textId="47B9079D" w:rsidR="000858B3" w:rsidRPr="00B06B7F" w:rsidRDefault="000858B3" w:rsidP="003B531E">
            <w:pPr>
              <w:pStyle w:val="BodyTextIndent2"/>
              <w:spacing w:after="0"/>
              <w:ind w:hanging="851"/>
              <w:jc w:val="center"/>
              <w:rPr>
                <w:sz w:val="22"/>
              </w:rPr>
            </w:pPr>
            <w:r>
              <w:rPr>
                <w:sz w:val="22"/>
              </w:rPr>
              <w:t>&gt;</w:t>
            </w:r>
            <w:r w:rsidR="00631C4E">
              <w:rPr>
                <w:sz w:val="22"/>
              </w:rPr>
              <w:t xml:space="preserve"> </w:t>
            </w:r>
            <w:r>
              <w:rPr>
                <w:sz w:val="22"/>
              </w:rPr>
              <w:t>30</w:t>
            </w:r>
          </w:p>
        </w:tc>
        <w:tc>
          <w:tcPr>
            <w:tcW w:w="1134" w:type="dxa"/>
            <w:vAlign w:val="center"/>
          </w:tcPr>
          <w:p w14:paraId="2AD4DEE5" w14:textId="77777777" w:rsidR="000858B3" w:rsidRPr="00B06B7F" w:rsidRDefault="000858B3" w:rsidP="003B531E">
            <w:pPr>
              <w:pStyle w:val="BodyTextIndent2"/>
              <w:spacing w:after="0"/>
              <w:ind w:hanging="851"/>
              <w:jc w:val="center"/>
              <w:rPr>
                <w:sz w:val="22"/>
              </w:rPr>
            </w:pPr>
          </w:p>
        </w:tc>
        <w:tc>
          <w:tcPr>
            <w:tcW w:w="1134" w:type="dxa"/>
            <w:vAlign w:val="center"/>
          </w:tcPr>
          <w:p w14:paraId="4377BE73" w14:textId="77777777" w:rsidR="000858B3" w:rsidRPr="00B06B7F" w:rsidRDefault="000858B3" w:rsidP="003B531E">
            <w:pPr>
              <w:pStyle w:val="BodyTextIndent2"/>
              <w:spacing w:after="0"/>
              <w:ind w:hanging="851"/>
              <w:jc w:val="center"/>
              <w:rPr>
                <w:sz w:val="22"/>
              </w:rPr>
            </w:pPr>
            <w:r>
              <w:rPr>
                <w:sz w:val="22"/>
              </w:rPr>
              <w:t>200-600</w:t>
            </w:r>
          </w:p>
        </w:tc>
        <w:tc>
          <w:tcPr>
            <w:tcW w:w="1134" w:type="dxa"/>
            <w:vAlign w:val="center"/>
          </w:tcPr>
          <w:p w14:paraId="63D211A6" w14:textId="77777777" w:rsidR="000858B3" w:rsidRPr="00B06B7F" w:rsidRDefault="000858B3" w:rsidP="003B531E">
            <w:pPr>
              <w:pStyle w:val="BodyTextIndent2"/>
              <w:spacing w:after="0"/>
              <w:ind w:hanging="851"/>
              <w:jc w:val="center"/>
              <w:rPr>
                <w:sz w:val="22"/>
              </w:rPr>
            </w:pPr>
            <w:r>
              <w:rPr>
                <w:sz w:val="22"/>
              </w:rPr>
              <w:t>4-6</w:t>
            </w:r>
          </w:p>
        </w:tc>
      </w:tr>
      <w:tr w:rsidR="000858B3" w:rsidRPr="00B06B7F" w14:paraId="1F37458B" w14:textId="77777777" w:rsidTr="008E013F">
        <w:trPr>
          <w:cantSplit/>
          <w:trHeight w:val="278"/>
        </w:trPr>
        <w:tc>
          <w:tcPr>
            <w:tcW w:w="644" w:type="dxa"/>
            <w:vMerge/>
            <w:vAlign w:val="center"/>
          </w:tcPr>
          <w:p w14:paraId="3A7CDE79" w14:textId="77777777" w:rsidR="000858B3" w:rsidRPr="00B06B7F" w:rsidRDefault="000858B3" w:rsidP="003B531E">
            <w:pPr>
              <w:pStyle w:val="BodyTextIndent2"/>
              <w:spacing w:after="0"/>
              <w:ind w:hanging="851"/>
              <w:jc w:val="both"/>
              <w:rPr>
                <w:sz w:val="22"/>
              </w:rPr>
            </w:pPr>
          </w:p>
        </w:tc>
        <w:tc>
          <w:tcPr>
            <w:tcW w:w="1624" w:type="dxa"/>
            <w:vAlign w:val="center"/>
          </w:tcPr>
          <w:p w14:paraId="636F8AB7" w14:textId="77777777" w:rsidR="000858B3" w:rsidRPr="00B06B7F" w:rsidRDefault="000858B3" w:rsidP="00271DCF">
            <w:pPr>
              <w:pStyle w:val="BodyTextIndent2"/>
              <w:spacing w:after="0"/>
              <w:ind w:left="0" w:firstLine="0"/>
              <w:jc w:val="both"/>
              <w:rPr>
                <w:sz w:val="22"/>
              </w:rPr>
            </w:pPr>
            <w:r>
              <w:rPr>
                <w:sz w:val="22"/>
              </w:rPr>
              <w:t>Jökulruðningu</w:t>
            </w:r>
            <w:r w:rsidR="000B58FE">
              <w:rPr>
                <w:sz w:val="22"/>
              </w:rPr>
              <w:t>r</w:t>
            </w:r>
            <w:r>
              <w:rPr>
                <w:sz w:val="22"/>
              </w:rPr>
              <w:t xml:space="preserve"> /Skriðuefni</w:t>
            </w:r>
          </w:p>
        </w:tc>
        <w:tc>
          <w:tcPr>
            <w:tcW w:w="2127" w:type="dxa"/>
            <w:vAlign w:val="center"/>
          </w:tcPr>
          <w:p w14:paraId="4929889D" w14:textId="0F742CD1" w:rsidR="000858B3" w:rsidRPr="00B06B7F" w:rsidRDefault="000858B3" w:rsidP="000B58FE">
            <w:pPr>
              <w:pStyle w:val="BodyTextIndent2"/>
              <w:spacing w:after="0"/>
              <w:ind w:hanging="851"/>
              <w:rPr>
                <w:sz w:val="22"/>
              </w:rPr>
            </w:pPr>
            <w:proofErr w:type="spellStart"/>
            <w:r>
              <w:rPr>
                <w:sz w:val="22"/>
              </w:rPr>
              <w:t>Titu</w:t>
            </w:r>
            <w:r w:rsidR="00CC6976">
              <w:rPr>
                <w:sz w:val="22"/>
              </w:rPr>
              <w:t>r</w:t>
            </w:r>
            <w:r>
              <w:rPr>
                <w:sz w:val="22"/>
              </w:rPr>
              <w:t>valti</w:t>
            </w:r>
            <w:proofErr w:type="spellEnd"/>
            <w:r>
              <w:rPr>
                <w:sz w:val="22"/>
              </w:rPr>
              <w:t>/beltatæki</w:t>
            </w:r>
          </w:p>
        </w:tc>
        <w:tc>
          <w:tcPr>
            <w:tcW w:w="993" w:type="dxa"/>
            <w:vAlign w:val="center"/>
          </w:tcPr>
          <w:p w14:paraId="596ACBB8" w14:textId="67E27025" w:rsidR="000858B3" w:rsidRPr="00B06B7F" w:rsidRDefault="000858B3" w:rsidP="003B531E">
            <w:pPr>
              <w:pStyle w:val="BodyTextIndent2"/>
              <w:spacing w:after="0"/>
              <w:ind w:hanging="851"/>
              <w:jc w:val="center"/>
              <w:rPr>
                <w:sz w:val="22"/>
              </w:rPr>
            </w:pPr>
            <w:r>
              <w:rPr>
                <w:sz w:val="22"/>
              </w:rPr>
              <w:t>&gt;</w:t>
            </w:r>
            <w:r w:rsidR="00631C4E">
              <w:rPr>
                <w:sz w:val="22"/>
              </w:rPr>
              <w:t xml:space="preserve"> </w:t>
            </w:r>
            <w:r>
              <w:rPr>
                <w:sz w:val="22"/>
              </w:rPr>
              <w:t>30</w:t>
            </w:r>
          </w:p>
        </w:tc>
        <w:tc>
          <w:tcPr>
            <w:tcW w:w="1134" w:type="dxa"/>
            <w:vAlign w:val="center"/>
          </w:tcPr>
          <w:p w14:paraId="71164621" w14:textId="77777777" w:rsidR="000858B3" w:rsidRPr="00B06B7F" w:rsidRDefault="000858B3" w:rsidP="003B531E">
            <w:pPr>
              <w:pStyle w:val="BodyTextIndent2"/>
              <w:spacing w:after="0"/>
              <w:ind w:hanging="851"/>
              <w:jc w:val="center"/>
              <w:rPr>
                <w:sz w:val="22"/>
              </w:rPr>
            </w:pPr>
            <w:r>
              <w:rPr>
                <w:sz w:val="22"/>
              </w:rPr>
              <w:t>35-70</w:t>
            </w:r>
          </w:p>
        </w:tc>
        <w:tc>
          <w:tcPr>
            <w:tcW w:w="1134" w:type="dxa"/>
            <w:vAlign w:val="center"/>
          </w:tcPr>
          <w:p w14:paraId="7E8D5C97" w14:textId="77777777" w:rsidR="000858B3" w:rsidRPr="00B06B7F" w:rsidRDefault="000858B3" w:rsidP="003B531E">
            <w:pPr>
              <w:pStyle w:val="BodyTextIndent2"/>
              <w:spacing w:after="0"/>
              <w:ind w:hanging="851"/>
              <w:jc w:val="center"/>
              <w:rPr>
                <w:sz w:val="22"/>
              </w:rPr>
            </w:pPr>
            <w:r>
              <w:rPr>
                <w:sz w:val="22"/>
              </w:rPr>
              <w:t>300-600</w:t>
            </w:r>
          </w:p>
        </w:tc>
        <w:tc>
          <w:tcPr>
            <w:tcW w:w="1134" w:type="dxa"/>
            <w:vAlign w:val="center"/>
          </w:tcPr>
          <w:p w14:paraId="10260FC2" w14:textId="77777777" w:rsidR="000858B3" w:rsidRPr="00B06B7F" w:rsidRDefault="000858B3" w:rsidP="003B531E">
            <w:pPr>
              <w:pStyle w:val="BodyTextIndent2"/>
              <w:spacing w:after="0"/>
              <w:ind w:hanging="851"/>
              <w:jc w:val="center"/>
              <w:rPr>
                <w:sz w:val="22"/>
              </w:rPr>
            </w:pPr>
            <w:r w:rsidRPr="00B06B7F">
              <w:rPr>
                <w:sz w:val="22"/>
              </w:rPr>
              <w:t>4-6</w:t>
            </w:r>
          </w:p>
        </w:tc>
      </w:tr>
      <w:tr w:rsidR="000858B3" w:rsidRPr="00B06B7F" w14:paraId="7DA123C8" w14:textId="77777777" w:rsidTr="008E013F">
        <w:trPr>
          <w:cantSplit/>
          <w:trHeight w:val="516"/>
        </w:trPr>
        <w:tc>
          <w:tcPr>
            <w:tcW w:w="644" w:type="dxa"/>
            <w:vMerge/>
            <w:vAlign w:val="center"/>
          </w:tcPr>
          <w:p w14:paraId="2673A496" w14:textId="77777777" w:rsidR="000858B3" w:rsidRPr="00B06B7F" w:rsidRDefault="000858B3" w:rsidP="003B531E">
            <w:pPr>
              <w:pStyle w:val="BodyTextIndent2"/>
              <w:spacing w:after="0"/>
              <w:ind w:hanging="851"/>
              <w:jc w:val="both"/>
              <w:rPr>
                <w:sz w:val="22"/>
              </w:rPr>
            </w:pPr>
          </w:p>
        </w:tc>
        <w:tc>
          <w:tcPr>
            <w:tcW w:w="1624" w:type="dxa"/>
            <w:vAlign w:val="center"/>
          </w:tcPr>
          <w:p w14:paraId="3D7DE615" w14:textId="77777777" w:rsidR="000858B3" w:rsidRPr="00B06B7F" w:rsidRDefault="000858B3" w:rsidP="003B531E">
            <w:pPr>
              <w:pStyle w:val="BodyTextIndent2"/>
              <w:spacing w:after="0"/>
              <w:ind w:hanging="851"/>
              <w:jc w:val="both"/>
              <w:rPr>
                <w:sz w:val="22"/>
              </w:rPr>
            </w:pPr>
            <w:r>
              <w:rPr>
                <w:sz w:val="22"/>
              </w:rPr>
              <w:t>Sylti</w:t>
            </w:r>
          </w:p>
        </w:tc>
        <w:tc>
          <w:tcPr>
            <w:tcW w:w="2127" w:type="dxa"/>
            <w:vAlign w:val="center"/>
          </w:tcPr>
          <w:p w14:paraId="21F09A6F" w14:textId="77777777" w:rsidR="000858B3" w:rsidRPr="00B06B7F" w:rsidRDefault="000858B3" w:rsidP="000858B3">
            <w:pPr>
              <w:pStyle w:val="BodyTextIndent2"/>
              <w:spacing w:after="0"/>
              <w:ind w:hanging="851"/>
              <w:rPr>
                <w:sz w:val="22"/>
              </w:rPr>
            </w:pPr>
            <w:r>
              <w:rPr>
                <w:sz w:val="22"/>
              </w:rPr>
              <w:t>Beltatæki</w:t>
            </w:r>
          </w:p>
        </w:tc>
        <w:tc>
          <w:tcPr>
            <w:tcW w:w="993" w:type="dxa"/>
          </w:tcPr>
          <w:p w14:paraId="26614FE5" w14:textId="77777777" w:rsidR="000858B3" w:rsidRPr="00B06B7F" w:rsidRDefault="000858B3" w:rsidP="003B531E">
            <w:pPr>
              <w:pStyle w:val="BodyTextIndent2"/>
              <w:spacing w:after="0"/>
              <w:ind w:hanging="851"/>
              <w:jc w:val="center"/>
              <w:rPr>
                <w:sz w:val="22"/>
              </w:rPr>
            </w:pPr>
          </w:p>
        </w:tc>
        <w:tc>
          <w:tcPr>
            <w:tcW w:w="1134" w:type="dxa"/>
            <w:vAlign w:val="center"/>
          </w:tcPr>
          <w:p w14:paraId="7E42C72C" w14:textId="77777777" w:rsidR="000858B3" w:rsidRPr="00B06B7F" w:rsidRDefault="000858B3" w:rsidP="000858B3">
            <w:pPr>
              <w:pStyle w:val="BodyTextIndent2"/>
              <w:spacing w:after="0"/>
              <w:ind w:hanging="851"/>
              <w:jc w:val="center"/>
              <w:rPr>
                <w:sz w:val="22"/>
              </w:rPr>
            </w:pPr>
            <w:r>
              <w:rPr>
                <w:sz w:val="22"/>
              </w:rPr>
              <w:t>35-70</w:t>
            </w:r>
          </w:p>
        </w:tc>
        <w:tc>
          <w:tcPr>
            <w:tcW w:w="1134" w:type="dxa"/>
            <w:vAlign w:val="center"/>
          </w:tcPr>
          <w:p w14:paraId="62DFF205" w14:textId="77777777" w:rsidR="000858B3" w:rsidRPr="00B06B7F" w:rsidRDefault="000858B3" w:rsidP="003B531E">
            <w:pPr>
              <w:pStyle w:val="BodyTextIndent2"/>
              <w:spacing w:after="0"/>
              <w:ind w:hanging="851"/>
              <w:jc w:val="center"/>
              <w:rPr>
                <w:sz w:val="22"/>
              </w:rPr>
            </w:pPr>
            <w:r w:rsidRPr="00B06B7F">
              <w:rPr>
                <w:sz w:val="22"/>
              </w:rPr>
              <w:t>200</w:t>
            </w:r>
          </w:p>
        </w:tc>
        <w:tc>
          <w:tcPr>
            <w:tcW w:w="1134" w:type="dxa"/>
            <w:vAlign w:val="center"/>
          </w:tcPr>
          <w:p w14:paraId="4454A094" w14:textId="77777777" w:rsidR="000858B3" w:rsidRPr="00B06B7F" w:rsidRDefault="000858B3" w:rsidP="003B531E">
            <w:pPr>
              <w:pStyle w:val="BodyTextIndent2"/>
              <w:spacing w:after="0"/>
              <w:ind w:hanging="851"/>
              <w:jc w:val="center"/>
              <w:rPr>
                <w:sz w:val="22"/>
              </w:rPr>
            </w:pPr>
            <w:r>
              <w:rPr>
                <w:sz w:val="22"/>
              </w:rPr>
              <w:t>2-6</w:t>
            </w:r>
          </w:p>
        </w:tc>
      </w:tr>
    </w:tbl>
    <w:p w14:paraId="0F37FC3A" w14:textId="6167C3BA" w:rsidR="00001597" w:rsidRPr="00DF09DF" w:rsidRDefault="00B90520" w:rsidP="008E013F">
      <w:pPr>
        <w:pStyle w:val="abcflokkar"/>
        <w:spacing w:before="120" w:after="0"/>
        <w:rPr>
          <w:sz w:val="24"/>
          <w:szCs w:val="24"/>
        </w:rPr>
      </w:pPr>
      <w:r>
        <w:rPr>
          <w:sz w:val="24"/>
          <w:szCs w:val="24"/>
        </w:rPr>
        <w:t>Einnig m</w:t>
      </w:r>
      <w:r w:rsidR="00001597" w:rsidRPr="00DF09DF">
        <w:rPr>
          <w:sz w:val="24"/>
          <w:szCs w:val="24"/>
        </w:rPr>
        <w:t xml:space="preserve">eð mæligildum úr þjöppumæli. </w:t>
      </w:r>
      <w:r w:rsidR="00001597" w:rsidRPr="00DF09DF">
        <w:rPr>
          <w:noProof/>
          <w:sz w:val="24"/>
          <w:szCs w:val="24"/>
        </w:rPr>
        <w:t>Þjöppun telst fullnægjandi ef hækkun</w:t>
      </w:r>
      <w:r w:rsidR="008E013F">
        <w:rPr>
          <w:noProof/>
          <w:sz w:val="24"/>
          <w:szCs w:val="24"/>
        </w:rPr>
        <w:t xml:space="preserve"> á mótstöðugildum</w:t>
      </w:r>
      <w:r w:rsidR="007E5538">
        <w:rPr>
          <w:noProof/>
          <w:sz w:val="24"/>
          <w:szCs w:val="24"/>
        </w:rPr>
        <w:t xml:space="preserve"> milli umferða er minni en </w:t>
      </w:r>
      <w:r w:rsidR="007E5538" w:rsidRPr="00872D51">
        <w:rPr>
          <w:noProof/>
          <w:sz w:val="24"/>
          <w:szCs w:val="24"/>
        </w:rPr>
        <w:t>8</w:t>
      </w:r>
      <w:r w:rsidR="00001597" w:rsidRPr="00872D51">
        <w:rPr>
          <w:noProof/>
          <w:sz w:val="24"/>
          <w:szCs w:val="24"/>
        </w:rPr>
        <w:t>%</w:t>
      </w:r>
      <w:r w:rsidR="00001597" w:rsidRPr="00DF09DF">
        <w:rPr>
          <w:noProof/>
          <w:sz w:val="24"/>
          <w:szCs w:val="24"/>
        </w:rPr>
        <w:t xml:space="preserve">. </w:t>
      </w:r>
    </w:p>
    <w:p w14:paraId="71D3FF28" w14:textId="38403F90" w:rsidR="00001597" w:rsidRDefault="00001597" w:rsidP="00271DCF">
      <w:r w:rsidRPr="00DF09DF">
        <w:t xml:space="preserve">Mæligildi þjöppumælis í valta skal </w:t>
      </w:r>
      <w:r w:rsidR="007E5538">
        <w:t>afhenda rafrænt</w:t>
      </w:r>
      <w:r w:rsidRPr="00DF09DF">
        <w:t xml:space="preserve"> fyrir allt þversnið vegarins.</w:t>
      </w:r>
    </w:p>
    <w:p w14:paraId="6CF0834F" w14:textId="77777777" w:rsidR="00001597" w:rsidRDefault="00001597" w:rsidP="00271DCF">
      <w:pPr>
        <w:pStyle w:val="Li-fyrirsagnir"/>
      </w:pPr>
      <w:r w:rsidRPr="00271DCF">
        <w:t>e)</w:t>
      </w:r>
      <w:r w:rsidRPr="00271DCF">
        <w:tab/>
        <w:t xml:space="preserve">Nákvæmniskröfur, þolvik </w:t>
      </w:r>
    </w:p>
    <w:p w14:paraId="61EA6F8C" w14:textId="77777777" w:rsidR="008F4ABB" w:rsidRDefault="008F4ABB" w:rsidP="008E013F">
      <w:pPr>
        <w:rPr>
          <w:color w:val="FF0000"/>
        </w:rPr>
      </w:pPr>
      <w:r>
        <w:rPr>
          <w:color w:val="FF0000"/>
        </w:rPr>
        <w:t>Efnisvinnsla eða framleiðsla efnis</w:t>
      </w:r>
    </w:p>
    <w:p w14:paraId="79C645D1" w14:textId="77777777" w:rsidR="00C61923" w:rsidRPr="008E013F" w:rsidRDefault="00C61923" w:rsidP="008E013F">
      <w:pPr>
        <w:rPr>
          <w:color w:val="FF0000"/>
        </w:rPr>
      </w:pPr>
      <w:r w:rsidRPr="00072C18">
        <w:rPr>
          <w:szCs w:val="24"/>
        </w:rPr>
        <w:t>Um frávik á</w:t>
      </w:r>
      <w:r>
        <w:rPr>
          <w:szCs w:val="24"/>
        </w:rPr>
        <w:t xml:space="preserve"> kröfum til efnisgæða </w:t>
      </w:r>
      <w:r w:rsidRPr="00072C18">
        <w:rPr>
          <w:szCs w:val="24"/>
        </w:rPr>
        <w:t>gildir að eitt sýni af fimm má víkja frá gildandi kröfu en þó má ekkert frávik vera meira en</w:t>
      </w:r>
      <w:r>
        <w:rPr>
          <w:szCs w:val="24"/>
        </w:rPr>
        <w:t xml:space="preserve"> 10% af tölugildi kröfu</w:t>
      </w:r>
      <w:r w:rsidRPr="00072C18">
        <w:rPr>
          <w:szCs w:val="24"/>
        </w:rPr>
        <w:t xml:space="preserve"> í átt til lakari efnisgæða.</w:t>
      </w:r>
    </w:p>
    <w:p w14:paraId="190AD5CA" w14:textId="4FB86E17" w:rsidR="008E013F" w:rsidRPr="007E5538" w:rsidRDefault="008E013F" w:rsidP="00271DCF">
      <w:pPr>
        <w:rPr>
          <w:noProof/>
          <w:color w:val="FF0000"/>
          <w:szCs w:val="24"/>
        </w:rPr>
      </w:pPr>
      <w:r w:rsidRPr="007E5538">
        <w:rPr>
          <w:noProof/>
          <w:color w:val="FF0000"/>
          <w:szCs w:val="24"/>
        </w:rPr>
        <w:t>Útlögn</w:t>
      </w:r>
    </w:p>
    <w:p w14:paraId="05D82778" w14:textId="0F3C0279" w:rsidR="00001597" w:rsidRPr="00C82DE4" w:rsidRDefault="00001597" w:rsidP="00271DCF">
      <w:pPr>
        <w:rPr>
          <w:noProof/>
          <w:szCs w:val="24"/>
        </w:rPr>
      </w:pPr>
      <w:r w:rsidRPr="00C82DE4">
        <w:rPr>
          <w:noProof/>
          <w:szCs w:val="24"/>
        </w:rPr>
        <w:t>Halli fláa</w:t>
      </w:r>
      <w:r w:rsidRPr="00C82DE4">
        <w:rPr>
          <w:b/>
          <w:noProof/>
          <w:szCs w:val="24"/>
        </w:rPr>
        <w:t xml:space="preserve"> </w:t>
      </w:r>
      <w:r w:rsidRPr="00C82DE4">
        <w:rPr>
          <w:noProof/>
          <w:szCs w:val="24"/>
        </w:rPr>
        <w:t xml:space="preserve">(vegfláa, fyllingarfláa eða skeringarfláa) má ekki vera brattari en </w:t>
      </w:r>
      <w:r>
        <w:rPr>
          <w:noProof/>
          <w:szCs w:val="24"/>
        </w:rPr>
        <w:t>fram kemur á uppdráttum</w:t>
      </w:r>
      <w:r w:rsidRPr="00C82DE4">
        <w:rPr>
          <w:noProof/>
          <w:szCs w:val="24"/>
        </w:rPr>
        <w:t>, en allt að 15% flatari (hlutfall af gráðum mældum milli láréttrar línu og fláalínu), þó þannig að lega og breidd skurða breytist ekki</w:t>
      </w:r>
      <w:r w:rsidRPr="00C82DE4">
        <w:rPr>
          <w:noProof/>
          <w:color w:val="FF00FF"/>
          <w:szCs w:val="24"/>
        </w:rPr>
        <w:t xml:space="preserve">. </w:t>
      </w:r>
      <w:r w:rsidRPr="00C82DE4">
        <w:rPr>
          <w:noProof/>
          <w:szCs w:val="24"/>
        </w:rPr>
        <w:t>Einstakir staðir fláa skulu ekki víkja meira en ±150 mm frá fláalínu, mælt með 3 m réttskeið sem lögð er á frágenginn fláa.</w:t>
      </w:r>
      <w:r w:rsidR="007E5538">
        <w:rPr>
          <w:noProof/>
          <w:szCs w:val="24"/>
        </w:rPr>
        <w:t xml:space="preserve"> Frávik frá kröfu um hlutfallslega breytingu á mótstöðu þjöppumælis má vera a</w:t>
      </w:r>
      <w:r w:rsidR="006A01DB">
        <w:rPr>
          <w:noProof/>
          <w:szCs w:val="24"/>
        </w:rPr>
        <w:t>llt að +2%.</w:t>
      </w:r>
    </w:p>
    <w:p w14:paraId="506ECB9C" w14:textId="77777777" w:rsidR="00001597" w:rsidRDefault="00001597" w:rsidP="00271DCF">
      <w:pPr>
        <w:rPr>
          <w:szCs w:val="24"/>
        </w:rPr>
      </w:pPr>
      <w:r w:rsidRPr="00DF09DF">
        <w:rPr>
          <w:szCs w:val="24"/>
        </w:rPr>
        <w:t>Ef mælingar sýna frávik umfram leyfileg mörk skal verktaki bæta úr því.</w:t>
      </w:r>
    </w:p>
    <w:p w14:paraId="4585EF2C" w14:textId="77777777" w:rsidR="005D61ED" w:rsidRDefault="005D61ED" w:rsidP="00001597">
      <w:pPr>
        <w:pStyle w:val="abcflokkar"/>
        <w:spacing w:before="120"/>
        <w:ind w:firstLine="31"/>
        <w:rPr>
          <w:sz w:val="24"/>
          <w:szCs w:val="24"/>
        </w:rPr>
      </w:pPr>
    </w:p>
    <w:p w14:paraId="3E353A1C" w14:textId="67AB01B6" w:rsidR="005D61ED" w:rsidRPr="00271DCF" w:rsidRDefault="005D61ED" w:rsidP="00271DCF">
      <w:pPr>
        <w:pStyle w:val="Kaflafyrirsagnir"/>
      </w:pPr>
      <w:bookmarkStart w:id="1" w:name="_Toc6994846"/>
      <w:r w:rsidRPr="00271DCF">
        <w:t>3</w:t>
      </w:r>
      <w:r w:rsidR="008112FC">
        <w:t>3</w:t>
      </w:r>
      <w:r w:rsidRPr="00271DCF">
        <w:t xml:space="preserve">.1  </w:t>
      </w:r>
      <w:r w:rsidRPr="00271DCF">
        <w:tab/>
        <w:t>Fylling</w:t>
      </w:r>
      <w:r w:rsidR="00271DCF" w:rsidRPr="00271DCF">
        <w:t>arefni úr skering</w:t>
      </w:r>
      <w:r w:rsidR="008A0B60">
        <w:t>u</w:t>
      </w:r>
      <w:bookmarkEnd w:id="1"/>
    </w:p>
    <w:p w14:paraId="1B0316D2" w14:textId="59139AD3" w:rsidR="005D61ED" w:rsidRPr="00DF09DF" w:rsidRDefault="005D61ED" w:rsidP="00271DCF">
      <w:pPr>
        <w:pStyle w:val="NoSpacing"/>
        <w:rPr>
          <w:i/>
        </w:rPr>
      </w:pPr>
      <w:r w:rsidRPr="00DF09DF">
        <w:t xml:space="preserve">a) </w:t>
      </w:r>
      <w:r w:rsidRPr="00DF09DF">
        <w:tab/>
      </w:r>
      <w:r w:rsidRPr="008112FC">
        <w:t>Um er að ræða gerð</w:t>
      </w:r>
      <w:r w:rsidRPr="00DF09DF">
        <w:t xml:space="preserve"> </w:t>
      </w:r>
      <w:r w:rsidRPr="00271DCF">
        <w:t>fyllingar</w:t>
      </w:r>
      <w:r w:rsidR="00271DCF" w:rsidRPr="00271DCF">
        <w:t xml:space="preserve"> úr </w:t>
      </w:r>
      <w:proofErr w:type="spellStart"/>
      <w:r w:rsidR="00271DCF" w:rsidRPr="00271DCF">
        <w:t>skeringu</w:t>
      </w:r>
      <w:proofErr w:type="spellEnd"/>
      <w:r w:rsidR="00271DCF">
        <w:rPr>
          <w:b/>
        </w:rPr>
        <w:t xml:space="preserve"> </w:t>
      </w:r>
      <w:r w:rsidRPr="00271DCF">
        <w:rPr>
          <w:i/>
          <w:color w:val="5B9BD5" w:themeColor="accent1"/>
        </w:rPr>
        <w:t>[lýsing]</w:t>
      </w:r>
    </w:p>
    <w:p w14:paraId="608F372D" w14:textId="77777777" w:rsidR="005D61ED" w:rsidRPr="00DF09DF" w:rsidRDefault="005D61ED" w:rsidP="00271DCF">
      <w:pPr>
        <w:pStyle w:val="NoSpacing"/>
        <w:rPr>
          <w:b/>
          <w:noProof/>
        </w:rPr>
      </w:pPr>
      <w:r w:rsidRPr="00DF09DF">
        <w:t>c)</w:t>
      </w:r>
      <w:r w:rsidRPr="00DF09DF">
        <w:tab/>
      </w:r>
      <w:r w:rsidRPr="00DF09DF">
        <w:rPr>
          <w:noProof/>
        </w:rPr>
        <w:t xml:space="preserve">Ónothæft efni skal flutt á </w:t>
      </w:r>
      <w:r w:rsidRPr="00DF09DF">
        <w:rPr>
          <w:i/>
          <w:noProof/>
          <w:color w:val="5B9BD5" w:themeColor="accent1"/>
        </w:rPr>
        <w:t>[tilgreina losunarstað]</w:t>
      </w:r>
    </w:p>
    <w:p w14:paraId="708A1631" w14:textId="77777777" w:rsidR="005D61ED" w:rsidRPr="00BA6F77" w:rsidRDefault="005D61ED" w:rsidP="00271DCF">
      <w:pPr>
        <w:pStyle w:val="NoSpacing"/>
      </w:pPr>
      <w:r w:rsidRPr="00271DCF">
        <w:t>e)</w:t>
      </w:r>
      <w:r w:rsidRPr="00151B4E">
        <w:rPr>
          <w:b/>
        </w:rPr>
        <w:tab/>
      </w:r>
      <w:r w:rsidRPr="00151B4E">
        <w:t xml:space="preserve">Leyfð frávik </w:t>
      </w:r>
      <w:r>
        <w:t>frá hönnuðu yfirborði eru:</w:t>
      </w:r>
    </w:p>
    <w:tbl>
      <w:tblPr>
        <w:tblW w:w="0" w:type="auto"/>
        <w:tblInd w:w="9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94"/>
        <w:gridCol w:w="1559"/>
        <w:gridCol w:w="1418"/>
      </w:tblGrid>
      <w:tr w:rsidR="005D61ED" w:rsidRPr="00B06B7F" w14:paraId="4C5D01CB" w14:textId="77777777" w:rsidTr="002979E2">
        <w:trPr>
          <w:trHeight w:val="604"/>
        </w:trPr>
        <w:tc>
          <w:tcPr>
            <w:tcW w:w="4394" w:type="dxa"/>
            <w:tcBorders>
              <w:tr2bl w:val="nil"/>
            </w:tcBorders>
            <w:shd w:val="clear" w:color="auto" w:fill="auto"/>
            <w:vAlign w:val="center"/>
          </w:tcPr>
          <w:p w14:paraId="7C8240B8" w14:textId="77777777" w:rsidR="005D61ED" w:rsidRPr="00B06B7F" w:rsidRDefault="005D61ED" w:rsidP="00271DCF">
            <w:pPr>
              <w:pStyle w:val="NoSpacing"/>
            </w:pPr>
          </w:p>
        </w:tc>
        <w:tc>
          <w:tcPr>
            <w:tcW w:w="1559" w:type="dxa"/>
            <w:shd w:val="clear" w:color="auto" w:fill="auto"/>
            <w:vAlign w:val="center"/>
          </w:tcPr>
          <w:p w14:paraId="2BF9DAD7" w14:textId="77777777" w:rsidR="005D61ED" w:rsidRPr="00B06B7F" w:rsidRDefault="005D61ED" w:rsidP="00271DCF">
            <w:pPr>
              <w:pStyle w:val="NoSpacing"/>
              <w:ind w:left="0"/>
            </w:pPr>
            <w:r w:rsidRPr="00B06B7F">
              <w:t>Stök mæling</w:t>
            </w:r>
          </w:p>
        </w:tc>
        <w:tc>
          <w:tcPr>
            <w:tcW w:w="1418" w:type="dxa"/>
            <w:shd w:val="clear" w:color="auto" w:fill="auto"/>
            <w:vAlign w:val="center"/>
          </w:tcPr>
          <w:p w14:paraId="2B4D37A8" w14:textId="77777777" w:rsidR="005D61ED" w:rsidRPr="00B06B7F" w:rsidRDefault="005D61ED" w:rsidP="00631C4E">
            <w:pPr>
              <w:pStyle w:val="NoSpacing"/>
              <w:tabs>
                <w:tab w:val="clear" w:pos="284"/>
                <w:tab w:val="clear" w:pos="851"/>
              </w:tabs>
              <w:ind w:left="60"/>
              <w:rPr>
                <w:iCs/>
              </w:rPr>
            </w:pPr>
            <w:r w:rsidRPr="00B06B7F">
              <w:rPr>
                <w:iCs/>
              </w:rPr>
              <w:t>Meðaltal</w:t>
            </w:r>
          </w:p>
        </w:tc>
      </w:tr>
      <w:tr w:rsidR="005D61ED" w:rsidRPr="00B06B7F" w14:paraId="70C2B763" w14:textId="77777777" w:rsidTr="002979E2">
        <w:trPr>
          <w:trHeight w:val="590"/>
        </w:trPr>
        <w:tc>
          <w:tcPr>
            <w:tcW w:w="4394" w:type="dxa"/>
            <w:shd w:val="clear" w:color="auto" w:fill="auto"/>
            <w:vAlign w:val="center"/>
          </w:tcPr>
          <w:p w14:paraId="271AB9D1" w14:textId="43CDEBCF" w:rsidR="005D61ED" w:rsidRPr="00B06B7F" w:rsidRDefault="005D61ED" w:rsidP="00631C4E">
            <w:pPr>
              <w:pStyle w:val="NoSpacing"/>
            </w:pPr>
            <w:r w:rsidRPr="00B06B7F">
              <w:t xml:space="preserve">Leyfð frávik frá hönnuðu yfirborði </w:t>
            </w:r>
            <w:r w:rsidR="00631C4E">
              <w:t>sets</w:t>
            </w:r>
            <w:r w:rsidRPr="00B06B7F">
              <w:t xml:space="preserve"> (mm)</w:t>
            </w:r>
          </w:p>
        </w:tc>
        <w:tc>
          <w:tcPr>
            <w:tcW w:w="1559" w:type="dxa"/>
            <w:shd w:val="clear" w:color="auto" w:fill="auto"/>
            <w:vAlign w:val="center"/>
          </w:tcPr>
          <w:p w14:paraId="47573E13" w14:textId="77777777" w:rsidR="005D61ED" w:rsidRPr="00B06B7F" w:rsidRDefault="005D61ED" w:rsidP="00271DCF">
            <w:pPr>
              <w:pStyle w:val="NoSpacing"/>
              <w:ind w:left="0"/>
            </w:pPr>
            <w:r w:rsidRPr="00B06B7F">
              <w:rPr>
                <w:i/>
                <w:color w:val="5B9BD5" w:themeColor="accent1"/>
              </w:rPr>
              <w:t>[valið gildi]</w:t>
            </w:r>
          </w:p>
        </w:tc>
        <w:tc>
          <w:tcPr>
            <w:tcW w:w="1418" w:type="dxa"/>
            <w:shd w:val="clear" w:color="auto" w:fill="auto"/>
            <w:vAlign w:val="center"/>
          </w:tcPr>
          <w:p w14:paraId="78F52CC0" w14:textId="77777777" w:rsidR="005D61ED" w:rsidRPr="00B06B7F" w:rsidRDefault="005D61ED" w:rsidP="00271DCF">
            <w:pPr>
              <w:pStyle w:val="NoSpacing"/>
              <w:ind w:left="0"/>
              <w:rPr>
                <w:iCs/>
              </w:rPr>
            </w:pPr>
            <w:r w:rsidRPr="00B06B7F">
              <w:rPr>
                <w:i/>
                <w:color w:val="5B9BD5" w:themeColor="accent1"/>
              </w:rPr>
              <w:t>[valið gildi]</w:t>
            </w:r>
          </w:p>
        </w:tc>
      </w:tr>
      <w:tr w:rsidR="005D61ED" w:rsidRPr="00B06B7F" w14:paraId="72291E09" w14:textId="77777777" w:rsidTr="002979E2">
        <w:trPr>
          <w:trHeight w:val="564"/>
        </w:trPr>
        <w:tc>
          <w:tcPr>
            <w:tcW w:w="4394" w:type="dxa"/>
            <w:shd w:val="clear" w:color="auto" w:fill="auto"/>
            <w:vAlign w:val="center"/>
          </w:tcPr>
          <w:p w14:paraId="790231B2" w14:textId="77777777" w:rsidR="005D61ED" w:rsidRPr="00B06B7F" w:rsidRDefault="005D61ED" w:rsidP="00271DCF">
            <w:pPr>
              <w:pStyle w:val="NoSpacing"/>
              <w:rPr>
                <w:iCs/>
              </w:rPr>
            </w:pPr>
            <w:r w:rsidRPr="00B06B7F">
              <w:rPr>
                <w:iCs/>
              </w:rPr>
              <w:t>Leyfð frávik frá hönnuðu yfirborði sprengds bergs (mm)</w:t>
            </w:r>
          </w:p>
        </w:tc>
        <w:tc>
          <w:tcPr>
            <w:tcW w:w="1559" w:type="dxa"/>
            <w:shd w:val="clear" w:color="auto" w:fill="auto"/>
            <w:vAlign w:val="center"/>
          </w:tcPr>
          <w:p w14:paraId="643966AF" w14:textId="77777777" w:rsidR="005D61ED" w:rsidRPr="00B06B7F" w:rsidRDefault="005D61ED" w:rsidP="00271DCF">
            <w:pPr>
              <w:pStyle w:val="NoSpacing"/>
              <w:ind w:left="0"/>
            </w:pPr>
            <w:r w:rsidRPr="00B06B7F">
              <w:rPr>
                <w:i/>
                <w:color w:val="5B9BD5" w:themeColor="accent1"/>
              </w:rPr>
              <w:t>[valið gildi]</w:t>
            </w:r>
          </w:p>
        </w:tc>
        <w:tc>
          <w:tcPr>
            <w:tcW w:w="1418" w:type="dxa"/>
            <w:shd w:val="clear" w:color="auto" w:fill="auto"/>
            <w:vAlign w:val="center"/>
          </w:tcPr>
          <w:p w14:paraId="09252C82" w14:textId="77777777" w:rsidR="005D61ED" w:rsidRPr="00B06B7F" w:rsidRDefault="005D61ED" w:rsidP="00271DCF">
            <w:pPr>
              <w:pStyle w:val="NoSpacing"/>
              <w:ind w:left="0"/>
            </w:pPr>
            <w:r w:rsidRPr="00B06B7F">
              <w:rPr>
                <w:i/>
                <w:color w:val="5B9BD5" w:themeColor="accent1"/>
              </w:rPr>
              <w:t>[valið gildi]</w:t>
            </w:r>
          </w:p>
        </w:tc>
      </w:tr>
    </w:tbl>
    <w:p w14:paraId="2E7242EC" w14:textId="77777777" w:rsidR="005D61ED" w:rsidRPr="00DF09DF" w:rsidRDefault="005D61ED" w:rsidP="00271DCF">
      <w:pPr>
        <w:pStyle w:val="NoSpacing"/>
        <w:rPr>
          <w:i/>
        </w:rPr>
      </w:pPr>
      <w:r w:rsidRPr="00DF09DF">
        <w:t>f)</w:t>
      </w:r>
      <w:r>
        <w:tab/>
      </w:r>
      <w:r w:rsidRPr="000E4E3D">
        <w:rPr>
          <w:noProof/>
        </w:rPr>
        <w:t>Uppgjör miðast við hannað frágengið rúmmál efnis í vegfyllingu.</w:t>
      </w:r>
    </w:p>
    <w:p w14:paraId="707E10C1" w14:textId="77777777" w:rsidR="005D61ED" w:rsidRPr="00DF09DF" w:rsidRDefault="005D61ED" w:rsidP="00271DCF">
      <w:pPr>
        <w:pStyle w:val="NoSpacing"/>
      </w:pPr>
      <w:r>
        <w:t>Mælieining: m</w:t>
      </w:r>
      <w:r w:rsidRPr="00631C4E">
        <w:rPr>
          <w:vertAlign w:val="superscript"/>
        </w:rPr>
        <w:t>3</w:t>
      </w:r>
    </w:p>
    <w:p w14:paraId="2F559EB8" w14:textId="573C112B" w:rsidR="00271DCF" w:rsidRPr="00271DCF" w:rsidRDefault="00271DCF" w:rsidP="00271DCF">
      <w:pPr>
        <w:pStyle w:val="Kaflafyrirsagnir"/>
      </w:pPr>
      <w:bookmarkStart w:id="2" w:name="_Toc6994847"/>
      <w:r w:rsidRPr="00271DCF">
        <w:lastRenderedPageBreak/>
        <w:t>3</w:t>
      </w:r>
      <w:r w:rsidR="008112FC">
        <w:t>3</w:t>
      </w:r>
      <w:r w:rsidRPr="00271DCF">
        <w:t>.</w:t>
      </w:r>
      <w:r>
        <w:t>2</w:t>
      </w:r>
      <w:r w:rsidRPr="00271DCF">
        <w:t xml:space="preserve">  </w:t>
      </w:r>
      <w:r w:rsidRPr="00271DCF">
        <w:tab/>
        <w:t>Fyllingarefni úr</w:t>
      </w:r>
      <w:r>
        <w:t xml:space="preserve"> námu</w:t>
      </w:r>
      <w:bookmarkEnd w:id="2"/>
    </w:p>
    <w:p w14:paraId="02B6D42F" w14:textId="77777777" w:rsidR="00271DCF" w:rsidRPr="00DF09DF" w:rsidRDefault="00271DCF" w:rsidP="00271DCF">
      <w:pPr>
        <w:pStyle w:val="NoSpacing"/>
        <w:rPr>
          <w:i/>
        </w:rPr>
      </w:pPr>
      <w:r w:rsidRPr="00DF09DF">
        <w:t xml:space="preserve">a) </w:t>
      </w:r>
      <w:r w:rsidRPr="00DF09DF">
        <w:tab/>
        <w:t>Um er að ræða gerð fyllingar</w:t>
      </w:r>
      <w:r>
        <w:rPr>
          <w:b/>
        </w:rPr>
        <w:t xml:space="preserve"> </w:t>
      </w:r>
      <w:r w:rsidRPr="00271DCF">
        <w:t>úr námu</w:t>
      </w:r>
      <w:r>
        <w:rPr>
          <w:b/>
        </w:rPr>
        <w:t xml:space="preserve"> </w:t>
      </w:r>
      <w:r w:rsidRPr="00271DCF">
        <w:rPr>
          <w:i/>
          <w:color w:val="5B9BD5" w:themeColor="accent1"/>
        </w:rPr>
        <w:t>[lýsing]</w:t>
      </w:r>
    </w:p>
    <w:p w14:paraId="3AF6D2A9" w14:textId="77777777" w:rsidR="00271DCF" w:rsidRPr="00DF09DF" w:rsidRDefault="00271DCF" w:rsidP="00271DCF">
      <w:pPr>
        <w:pStyle w:val="NoSpacing"/>
        <w:rPr>
          <w:b/>
          <w:noProof/>
        </w:rPr>
      </w:pPr>
      <w:r w:rsidRPr="00DF09DF">
        <w:t>c)</w:t>
      </w:r>
      <w:r w:rsidRPr="00DF09DF">
        <w:tab/>
      </w:r>
      <w:r w:rsidRPr="00DF09DF">
        <w:rPr>
          <w:noProof/>
        </w:rPr>
        <w:t xml:space="preserve">Ónothæft efni skal flutt á </w:t>
      </w:r>
      <w:r w:rsidRPr="00DF09DF">
        <w:rPr>
          <w:i/>
          <w:noProof/>
          <w:color w:val="5B9BD5" w:themeColor="accent1"/>
        </w:rPr>
        <w:t>[tilgreina losunarstað]</w:t>
      </w:r>
    </w:p>
    <w:p w14:paraId="548B6C13" w14:textId="77777777" w:rsidR="00271DCF" w:rsidRPr="00BA6F77" w:rsidRDefault="00271DCF" w:rsidP="00271DCF">
      <w:pPr>
        <w:pStyle w:val="NoSpacing"/>
      </w:pPr>
      <w:r w:rsidRPr="00271DCF">
        <w:t>e)</w:t>
      </w:r>
      <w:r w:rsidRPr="00151B4E">
        <w:rPr>
          <w:b/>
        </w:rPr>
        <w:tab/>
      </w:r>
      <w:r w:rsidRPr="00151B4E">
        <w:t xml:space="preserve">Leyfð frávik </w:t>
      </w:r>
      <w:r>
        <w:t>frá hönnuðu yfirborði eru:</w:t>
      </w:r>
    </w:p>
    <w:tbl>
      <w:tblPr>
        <w:tblW w:w="0" w:type="auto"/>
        <w:tblInd w:w="9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94"/>
        <w:gridCol w:w="1559"/>
        <w:gridCol w:w="1418"/>
      </w:tblGrid>
      <w:tr w:rsidR="00271DCF" w:rsidRPr="00B06B7F" w14:paraId="2C8F3F82" w14:textId="77777777" w:rsidTr="002979E2">
        <w:trPr>
          <w:trHeight w:val="604"/>
        </w:trPr>
        <w:tc>
          <w:tcPr>
            <w:tcW w:w="4394" w:type="dxa"/>
            <w:tcBorders>
              <w:tr2bl w:val="nil"/>
            </w:tcBorders>
            <w:shd w:val="clear" w:color="auto" w:fill="auto"/>
            <w:vAlign w:val="center"/>
          </w:tcPr>
          <w:p w14:paraId="03BE0440" w14:textId="77777777" w:rsidR="00271DCF" w:rsidRPr="00B06B7F" w:rsidRDefault="00271DCF" w:rsidP="002979E2">
            <w:pPr>
              <w:pStyle w:val="NoSpacing"/>
            </w:pPr>
          </w:p>
        </w:tc>
        <w:tc>
          <w:tcPr>
            <w:tcW w:w="1559" w:type="dxa"/>
            <w:shd w:val="clear" w:color="auto" w:fill="auto"/>
            <w:vAlign w:val="center"/>
          </w:tcPr>
          <w:p w14:paraId="2BB5BB95" w14:textId="77777777" w:rsidR="00271DCF" w:rsidRPr="00B06B7F" w:rsidRDefault="00271DCF" w:rsidP="002979E2">
            <w:pPr>
              <w:pStyle w:val="NoSpacing"/>
              <w:ind w:left="0"/>
            </w:pPr>
            <w:r w:rsidRPr="00B06B7F">
              <w:t>Stök mæling</w:t>
            </w:r>
          </w:p>
        </w:tc>
        <w:tc>
          <w:tcPr>
            <w:tcW w:w="1418" w:type="dxa"/>
            <w:shd w:val="clear" w:color="auto" w:fill="auto"/>
            <w:vAlign w:val="center"/>
          </w:tcPr>
          <w:p w14:paraId="75E9FCAC" w14:textId="77777777" w:rsidR="00271DCF" w:rsidRPr="00B06B7F" w:rsidRDefault="00271DCF" w:rsidP="00631C4E">
            <w:pPr>
              <w:pStyle w:val="NoSpacing"/>
              <w:tabs>
                <w:tab w:val="clear" w:pos="284"/>
                <w:tab w:val="clear" w:pos="851"/>
              </w:tabs>
              <w:ind w:left="0"/>
              <w:rPr>
                <w:iCs/>
              </w:rPr>
            </w:pPr>
            <w:r w:rsidRPr="00B06B7F">
              <w:rPr>
                <w:iCs/>
              </w:rPr>
              <w:t>Meðaltal</w:t>
            </w:r>
          </w:p>
        </w:tc>
      </w:tr>
      <w:tr w:rsidR="00271DCF" w:rsidRPr="00B06B7F" w14:paraId="3C109233" w14:textId="77777777" w:rsidTr="002979E2">
        <w:trPr>
          <w:trHeight w:val="590"/>
        </w:trPr>
        <w:tc>
          <w:tcPr>
            <w:tcW w:w="4394" w:type="dxa"/>
            <w:shd w:val="clear" w:color="auto" w:fill="auto"/>
            <w:vAlign w:val="center"/>
          </w:tcPr>
          <w:p w14:paraId="0E841CCC" w14:textId="5033D6B6" w:rsidR="00271DCF" w:rsidRPr="00B06B7F" w:rsidRDefault="00271DCF" w:rsidP="00631C4E">
            <w:pPr>
              <w:pStyle w:val="NoSpacing"/>
            </w:pPr>
            <w:r w:rsidRPr="00B06B7F">
              <w:t xml:space="preserve">Leyfð frávik frá hönnuðu yfirborði </w:t>
            </w:r>
            <w:r w:rsidR="00631C4E">
              <w:t>sets</w:t>
            </w:r>
            <w:r w:rsidRPr="00B06B7F">
              <w:t xml:space="preserve"> (mm)</w:t>
            </w:r>
          </w:p>
        </w:tc>
        <w:tc>
          <w:tcPr>
            <w:tcW w:w="1559" w:type="dxa"/>
            <w:shd w:val="clear" w:color="auto" w:fill="auto"/>
            <w:vAlign w:val="center"/>
          </w:tcPr>
          <w:p w14:paraId="7D5164EB" w14:textId="77777777" w:rsidR="00271DCF" w:rsidRPr="00B06B7F" w:rsidRDefault="00271DCF" w:rsidP="002979E2">
            <w:pPr>
              <w:pStyle w:val="NoSpacing"/>
              <w:ind w:left="0"/>
            </w:pPr>
            <w:r w:rsidRPr="00B06B7F">
              <w:rPr>
                <w:i/>
                <w:color w:val="5B9BD5" w:themeColor="accent1"/>
              </w:rPr>
              <w:t>[valið gildi]</w:t>
            </w:r>
          </w:p>
        </w:tc>
        <w:tc>
          <w:tcPr>
            <w:tcW w:w="1418" w:type="dxa"/>
            <w:shd w:val="clear" w:color="auto" w:fill="auto"/>
            <w:vAlign w:val="center"/>
          </w:tcPr>
          <w:p w14:paraId="36998F05" w14:textId="77777777" w:rsidR="00271DCF" w:rsidRPr="00B06B7F" w:rsidRDefault="00271DCF" w:rsidP="002979E2">
            <w:pPr>
              <w:pStyle w:val="NoSpacing"/>
              <w:ind w:left="0"/>
              <w:rPr>
                <w:iCs/>
              </w:rPr>
            </w:pPr>
            <w:r w:rsidRPr="00B06B7F">
              <w:rPr>
                <w:i/>
                <w:color w:val="5B9BD5" w:themeColor="accent1"/>
              </w:rPr>
              <w:t>[valið gildi]</w:t>
            </w:r>
          </w:p>
        </w:tc>
      </w:tr>
      <w:tr w:rsidR="00271DCF" w:rsidRPr="00B06B7F" w14:paraId="65ECFD28" w14:textId="77777777" w:rsidTr="002979E2">
        <w:trPr>
          <w:trHeight w:val="564"/>
        </w:trPr>
        <w:tc>
          <w:tcPr>
            <w:tcW w:w="4394" w:type="dxa"/>
            <w:shd w:val="clear" w:color="auto" w:fill="auto"/>
            <w:vAlign w:val="center"/>
          </w:tcPr>
          <w:p w14:paraId="62C59122" w14:textId="77777777" w:rsidR="00271DCF" w:rsidRPr="00B06B7F" w:rsidRDefault="00271DCF" w:rsidP="002979E2">
            <w:pPr>
              <w:pStyle w:val="NoSpacing"/>
              <w:rPr>
                <w:iCs/>
              </w:rPr>
            </w:pPr>
            <w:r w:rsidRPr="00B06B7F">
              <w:rPr>
                <w:iCs/>
              </w:rPr>
              <w:t>Leyfð frávik frá hönnuðu yfirborði sprengds bergs (mm)</w:t>
            </w:r>
          </w:p>
        </w:tc>
        <w:tc>
          <w:tcPr>
            <w:tcW w:w="1559" w:type="dxa"/>
            <w:shd w:val="clear" w:color="auto" w:fill="auto"/>
            <w:vAlign w:val="center"/>
          </w:tcPr>
          <w:p w14:paraId="505DA0B0" w14:textId="77777777" w:rsidR="00271DCF" w:rsidRPr="00B06B7F" w:rsidRDefault="00271DCF" w:rsidP="002979E2">
            <w:pPr>
              <w:pStyle w:val="NoSpacing"/>
              <w:ind w:left="0"/>
            </w:pPr>
            <w:r w:rsidRPr="00B06B7F">
              <w:rPr>
                <w:i/>
                <w:color w:val="5B9BD5" w:themeColor="accent1"/>
              </w:rPr>
              <w:t>[valið gildi]</w:t>
            </w:r>
          </w:p>
        </w:tc>
        <w:tc>
          <w:tcPr>
            <w:tcW w:w="1418" w:type="dxa"/>
            <w:shd w:val="clear" w:color="auto" w:fill="auto"/>
            <w:vAlign w:val="center"/>
          </w:tcPr>
          <w:p w14:paraId="32EA69E3" w14:textId="77777777" w:rsidR="00271DCF" w:rsidRPr="00B06B7F" w:rsidRDefault="00271DCF" w:rsidP="002979E2">
            <w:pPr>
              <w:pStyle w:val="NoSpacing"/>
              <w:ind w:left="0"/>
            </w:pPr>
            <w:r w:rsidRPr="00B06B7F">
              <w:rPr>
                <w:i/>
                <w:color w:val="5B9BD5" w:themeColor="accent1"/>
              </w:rPr>
              <w:t>[valið gildi]</w:t>
            </w:r>
          </w:p>
        </w:tc>
      </w:tr>
    </w:tbl>
    <w:p w14:paraId="4FB8E39D" w14:textId="77777777" w:rsidR="00271DCF" w:rsidRPr="00DF09DF" w:rsidRDefault="00271DCF" w:rsidP="00271DCF">
      <w:pPr>
        <w:pStyle w:val="NoSpacing"/>
        <w:rPr>
          <w:i/>
        </w:rPr>
      </w:pPr>
      <w:r w:rsidRPr="00DF09DF">
        <w:t>f)</w:t>
      </w:r>
      <w:r>
        <w:tab/>
      </w:r>
      <w:r w:rsidRPr="000E4E3D">
        <w:rPr>
          <w:noProof/>
        </w:rPr>
        <w:t>Uppgjör miðast við hannað frágengið rúmmál efnis í vegfyllingu.</w:t>
      </w:r>
    </w:p>
    <w:p w14:paraId="0300D016" w14:textId="77777777" w:rsidR="00271DCF" w:rsidRPr="00DF09DF" w:rsidRDefault="00271DCF" w:rsidP="00271DCF">
      <w:pPr>
        <w:pStyle w:val="NoSpacing"/>
      </w:pPr>
      <w:r>
        <w:t>Mælieining: m</w:t>
      </w:r>
      <w:r w:rsidRPr="00631C4E">
        <w:rPr>
          <w:vertAlign w:val="superscript"/>
        </w:rPr>
        <w:t>3</w:t>
      </w:r>
    </w:p>
    <w:p w14:paraId="513B8B7F" w14:textId="77777777" w:rsidR="005D61ED" w:rsidRPr="00DF09DF" w:rsidRDefault="005D61ED" w:rsidP="00001597">
      <w:pPr>
        <w:pStyle w:val="abcflokkar"/>
        <w:spacing w:before="120"/>
        <w:ind w:firstLine="31"/>
        <w:rPr>
          <w:sz w:val="24"/>
          <w:szCs w:val="24"/>
        </w:rPr>
      </w:pPr>
    </w:p>
    <w:sectPr w:rsidR="005D61ED" w:rsidRPr="00DF09D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FF137" w14:textId="77777777" w:rsidR="00E3520D" w:rsidRDefault="00E3520D" w:rsidP="008A0B60">
      <w:pPr>
        <w:spacing w:after="0" w:line="240" w:lineRule="auto"/>
      </w:pPr>
      <w:r>
        <w:separator/>
      </w:r>
    </w:p>
  </w:endnote>
  <w:endnote w:type="continuationSeparator" w:id="0">
    <w:p w14:paraId="2C504CC7" w14:textId="77777777" w:rsidR="00E3520D" w:rsidRDefault="00E3520D" w:rsidP="008A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920344"/>
      <w:docPartObj>
        <w:docPartGallery w:val="Page Numbers (Bottom of Page)"/>
        <w:docPartUnique/>
      </w:docPartObj>
    </w:sdtPr>
    <w:sdtEndPr>
      <w:rPr>
        <w:noProof/>
      </w:rPr>
    </w:sdtEndPr>
    <w:sdtContent>
      <w:p w14:paraId="1D06154C" w14:textId="77777777" w:rsidR="002979E2" w:rsidRDefault="002979E2">
        <w:pPr>
          <w:pStyle w:val="Footer"/>
          <w:jc w:val="center"/>
        </w:pPr>
        <w:r>
          <w:fldChar w:fldCharType="begin"/>
        </w:r>
        <w:r>
          <w:instrText xml:space="preserve"> PAGE   \* MERGEFORMAT </w:instrText>
        </w:r>
        <w:r>
          <w:fldChar w:fldCharType="separate"/>
        </w:r>
        <w:r w:rsidR="00E44999">
          <w:rPr>
            <w:noProof/>
          </w:rPr>
          <w:t>5</w:t>
        </w:r>
        <w:r>
          <w:rPr>
            <w:noProof/>
          </w:rPr>
          <w:fldChar w:fldCharType="end"/>
        </w:r>
      </w:p>
    </w:sdtContent>
  </w:sdt>
  <w:p w14:paraId="0D6BB970" w14:textId="77777777" w:rsidR="002979E2" w:rsidRDefault="00297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0CA5D" w14:textId="77777777" w:rsidR="00E3520D" w:rsidRDefault="00E3520D" w:rsidP="008A0B60">
      <w:pPr>
        <w:spacing w:after="0" w:line="240" w:lineRule="auto"/>
      </w:pPr>
      <w:r>
        <w:separator/>
      </w:r>
    </w:p>
  </w:footnote>
  <w:footnote w:type="continuationSeparator" w:id="0">
    <w:p w14:paraId="5D993E83" w14:textId="77777777" w:rsidR="00E3520D" w:rsidRDefault="00E3520D" w:rsidP="008A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0B779" w14:textId="6581D917" w:rsidR="002979E2" w:rsidRDefault="0009555C">
    <w:pPr>
      <w:pStyle w:val="Header"/>
    </w:pPr>
    <w:r>
      <w:t>SNI-3401-33 Fylling</w:t>
    </w:r>
    <w:r w:rsidR="002979E2">
      <w:ptab w:relativeTo="margin" w:alignment="right" w:leader="none"/>
    </w:r>
    <w:r w:rsidR="008112FC">
      <w:t>24</w:t>
    </w:r>
    <w:r w:rsidR="002979E2">
      <w:t>.0</w:t>
    </w:r>
    <w:r w:rsidR="008112FC">
      <w:t>4</w:t>
    </w:r>
    <w:r w:rsidR="002979E2">
      <w:t>.201</w:t>
    </w:r>
    <w:r w:rsidR="00E44999">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34974"/>
    <w:multiLevelType w:val="hybridMultilevel"/>
    <w:tmpl w:val="4ABC69FA"/>
    <w:lvl w:ilvl="0" w:tplc="0809000F">
      <w:start w:val="1"/>
      <w:numFmt w:val="decimal"/>
      <w:lvlText w:val="%1."/>
      <w:lvlJc w:val="left"/>
      <w:pPr>
        <w:ind w:left="2127" w:hanging="360"/>
      </w:pPr>
    </w:lvl>
    <w:lvl w:ilvl="1" w:tplc="08090019" w:tentative="1">
      <w:start w:val="1"/>
      <w:numFmt w:val="lowerLetter"/>
      <w:lvlText w:val="%2."/>
      <w:lvlJc w:val="left"/>
      <w:pPr>
        <w:ind w:left="2847" w:hanging="360"/>
      </w:pPr>
    </w:lvl>
    <w:lvl w:ilvl="2" w:tplc="0809001B" w:tentative="1">
      <w:start w:val="1"/>
      <w:numFmt w:val="lowerRoman"/>
      <w:lvlText w:val="%3."/>
      <w:lvlJc w:val="right"/>
      <w:pPr>
        <w:ind w:left="3567" w:hanging="180"/>
      </w:pPr>
    </w:lvl>
    <w:lvl w:ilvl="3" w:tplc="0809000F" w:tentative="1">
      <w:start w:val="1"/>
      <w:numFmt w:val="decimal"/>
      <w:lvlText w:val="%4."/>
      <w:lvlJc w:val="left"/>
      <w:pPr>
        <w:ind w:left="4287" w:hanging="360"/>
      </w:pPr>
    </w:lvl>
    <w:lvl w:ilvl="4" w:tplc="08090019" w:tentative="1">
      <w:start w:val="1"/>
      <w:numFmt w:val="lowerLetter"/>
      <w:lvlText w:val="%5."/>
      <w:lvlJc w:val="left"/>
      <w:pPr>
        <w:ind w:left="5007" w:hanging="360"/>
      </w:pPr>
    </w:lvl>
    <w:lvl w:ilvl="5" w:tplc="0809001B" w:tentative="1">
      <w:start w:val="1"/>
      <w:numFmt w:val="lowerRoman"/>
      <w:lvlText w:val="%6."/>
      <w:lvlJc w:val="right"/>
      <w:pPr>
        <w:ind w:left="5727" w:hanging="180"/>
      </w:pPr>
    </w:lvl>
    <w:lvl w:ilvl="6" w:tplc="0809000F" w:tentative="1">
      <w:start w:val="1"/>
      <w:numFmt w:val="decimal"/>
      <w:lvlText w:val="%7."/>
      <w:lvlJc w:val="left"/>
      <w:pPr>
        <w:ind w:left="6447" w:hanging="360"/>
      </w:pPr>
    </w:lvl>
    <w:lvl w:ilvl="7" w:tplc="08090019" w:tentative="1">
      <w:start w:val="1"/>
      <w:numFmt w:val="lowerLetter"/>
      <w:lvlText w:val="%8."/>
      <w:lvlJc w:val="left"/>
      <w:pPr>
        <w:ind w:left="7167" w:hanging="360"/>
      </w:pPr>
    </w:lvl>
    <w:lvl w:ilvl="8" w:tplc="0809001B" w:tentative="1">
      <w:start w:val="1"/>
      <w:numFmt w:val="lowerRoman"/>
      <w:lvlText w:val="%9."/>
      <w:lvlJc w:val="right"/>
      <w:pPr>
        <w:ind w:left="7887" w:hanging="180"/>
      </w:pPr>
    </w:lvl>
  </w:abstractNum>
  <w:abstractNum w:abstractNumId="1" w15:restartNumberingAfterBreak="0">
    <w:nsid w:val="4E9447C0"/>
    <w:multiLevelType w:val="hybridMultilevel"/>
    <w:tmpl w:val="C9D223AA"/>
    <w:lvl w:ilvl="0" w:tplc="040F0001">
      <w:start w:val="1"/>
      <w:numFmt w:val="bullet"/>
      <w:lvlText w:val=""/>
      <w:lvlJc w:val="left"/>
      <w:pPr>
        <w:ind w:left="1571" w:hanging="360"/>
      </w:pPr>
      <w:rPr>
        <w:rFonts w:ascii="Symbol" w:hAnsi="Symbol" w:hint="default"/>
      </w:rPr>
    </w:lvl>
    <w:lvl w:ilvl="1" w:tplc="040F0003" w:tentative="1">
      <w:start w:val="1"/>
      <w:numFmt w:val="bullet"/>
      <w:lvlText w:val="o"/>
      <w:lvlJc w:val="left"/>
      <w:pPr>
        <w:ind w:left="2291" w:hanging="360"/>
      </w:pPr>
      <w:rPr>
        <w:rFonts w:ascii="Courier New" w:hAnsi="Courier New" w:cs="Courier New" w:hint="default"/>
      </w:rPr>
    </w:lvl>
    <w:lvl w:ilvl="2" w:tplc="040F0005" w:tentative="1">
      <w:start w:val="1"/>
      <w:numFmt w:val="bullet"/>
      <w:lvlText w:val=""/>
      <w:lvlJc w:val="left"/>
      <w:pPr>
        <w:ind w:left="3011" w:hanging="360"/>
      </w:pPr>
      <w:rPr>
        <w:rFonts w:ascii="Wingdings" w:hAnsi="Wingdings" w:hint="default"/>
      </w:rPr>
    </w:lvl>
    <w:lvl w:ilvl="3" w:tplc="040F0001" w:tentative="1">
      <w:start w:val="1"/>
      <w:numFmt w:val="bullet"/>
      <w:lvlText w:val=""/>
      <w:lvlJc w:val="left"/>
      <w:pPr>
        <w:ind w:left="3731" w:hanging="360"/>
      </w:pPr>
      <w:rPr>
        <w:rFonts w:ascii="Symbol" w:hAnsi="Symbol" w:hint="default"/>
      </w:rPr>
    </w:lvl>
    <w:lvl w:ilvl="4" w:tplc="040F0003" w:tentative="1">
      <w:start w:val="1"/>
      <w:numFmt w:val="bullet"/>
      <w:lvlText w:val="o"/>
      <w:lvlJc w:val="left"/>
      <w:pPr>
        <w:ind w:left="4451" w:hanging="360"/>
      </w:pPr>
      <w:rPr>
        <w:rFonts w:ascii="Courier New" w:hAnsi="Courier New" w:cs="Courier New" w:hint="default"/>
      </w:rPr>
    </w:lvl>
    <w:lvl w:ilvl="5" w:tplc="040F0005" w:tentative="1">
      <w:start w:val="1"/>
      <w:numFmt w:val="bullet"/>
      <w:lvlText w:val=""/>
      <w:lvlJc w:val="left"/>
      <w:pPr>
        <w:ind w:left="5171" w:hanging="360"/>
      </w:pPr>
      <w:rPr>
        <w:rFonts w:ascii="Wingdings" w:hAnsi="Wingdings" w:hint="default"/>
      </w:rPr>
    </w:lvl>
    <w:lvl w:ilvl="6" w:tplc="040F0001" w:tentative="1">
      <w:start w:val="1"/>
      <w:numFmt w:val="bullet"/>
      <w:lvlText w:val=""/>
      <w:lvlJc w:val="left"/>
      <w:pPr>
        <w:ind w:left="5891" w:hanging="360"/>
      </w:pPr>
      <w:rPr>
        <w:rFonts w:ascii="Symbol" w:hAnsi="Symbol" w:hint="default"/>
      </w:rPr>
    </w:lvl>
    <w:lvl w:ilvl="7" w:tplc="040F0003" w:tentative="1">
      <w:start w:val="1"/>
      <w:numFmt w:val="bullet"/>
      <w:lvlText w:val="o"/>
      <w:lvlJc w:val="left"/>
      <w:pPr>
        <w:ind w:left="6611" w:hanging="360"/>
      </w:pPr>
      <w:rPr>
        <w:rFonts w:ascii="Courier New" w:hAnsi="Courier New" w:cs="Courier New" w:hint="default"/>
      </w:rPr>
    </w:lvl>
    <w:lvl w:ilvl="8" w:tplc="040F0005" w:tentative="1">
      <w:start w:val="1"/>
      <w:numFmt w:val="bullet"/>
      <w:lvlText w:val=""/>
      <w:lvlJc w:val="left"/>
      <w:pPr>
        <w:ind w:left="7331" w:hanging="360"/>
      </w:pPr>
      <w:rPr>
        <w:rFonts w:ascii="Wingdings" w:hAnsi="Wingdings" w:hint="default"/>
      </w:rPr>
    </w:lvl>
  </w:abstractNum>
  <w:abstractNum w:abstractNumId="2" w15:restartNumberingAfterBreak="0">
    <w:nsid w:val="4F792181"/>
    <w:multiLevelType w:val="hybridMultilevel"/>
    <w:tmpl w:val="5D921B50"/>
    <w:lvl w:ilvl="0" w:tplc="8A2C4D78">
      <w:start w:val="1"/>
      <w:numFmt w:val="decimal"/>
      <w:lvlText w:val="%1."/>
      <w:lvlJc w:val="left"/>
      <w:pPr>
        <w:ind w:left="1211" w:hanging="360"/>
      </w:pPr>
      <w:rPr>
        <w:rFonts w:hint="default"/>
      </w:rPr>
    </w:lvl>
    <w:lvl w:ilvl="1" w:tplc="040F0019" w:tentative="1">
      <w:start w:val="1"/>
      <w:numFmt w:val="lowerLetter"/>
      <w:lvlText w:val="%2."/>
      <w:lvlJc w:val="left"/>
      <w:pPr>
        <w:ind w:left="1931" w:hanging="360"/>
      </w:pPr>
    </w:lvl>
    <w:lvl w:ilvl="2" w:tplc="040F001B" w:tentative="1">
      <w:start w:val="1"/>
      <w:numFmt w:val="lowerRoman"/>
      <w:lvlText w:val="%3."/>
      <w:lvlJc w:val="right"/>
      <w:pPr>
        <w:ind w:left="2651" w:hanging="180"/>
      </w:pPr>
    </w:lvl>
    <w:lvl w:ilvl="3" w:tplc="040F000F" w:tentative="1">
      <w:start w:val="1"/>
      <w:numFmt w:val="decimal"/>
      <w:lvlText w:val="%4."/>
      <w:lvlJc w:val="left"/>
      <w:pPr>
        <w:ind w:left="3371" w:hanging="360"/>
      </w:pPr>
    </w:lvl>
    <w:lvl w:ilvl="4" w:tplc="040F0019">
      <w:start w:val="1"/>
      <w:numFmt w:val="lowerLetter"/>
      <w:lvlText w:val="%5."/>
      <w:lvlJc w:val="left"/>
      <w:pPr>
        <w:ind w:left="4091" w:hanging="360"/>
      </w:pPr>
    </w:lvl>
    <w:lvl w:ilvl="5" w:tplc="040F001B" w:tentative="1">
      <w:start w:val="1"/>
      <w:numFmt w:val="lowerRoman"/>
      <w:lvlText w:val="%6."/>
      <w:lvlJc w:val="right"/>
      <w:pPr>
        <w:ind w:left="4811" w:hanging="180"/>
      </w:pPr>
    </w:lvl>
    <w:lvl w:ilvl="6" w:tplc="040F000F" w:tentative="1">
      <w:start w:val="1"/>
      <w:numFmt w:val="decimal"/>
      <w:lvlText w:val="%7."/>
      <w:lvlJc w:val="left"/>
      <w:pPr>
        <w:ind w:left="5531" w:hanging="360"/>
      </w:pPr>
    </w:lvl>
    <w:lvl w:ilvl="7" w:tplc="040F0019" w:tentative="1">
      <w:start w:val="1"/>
      <w:numFmt w:val="lowerLetter"/>
      <w:lvlText w:val="%8."/>
      <w:lvlJc w:val="left"/>
      <w:pPr>
        <w:ind w:left="6251" w:hanging="360"/>
      </w:pPr>
    </w:lvl>
    <w:lvl w:ilvl="8" w:tplc="040F001B" w:tentative="1">
      <w:start w:val="1"/>
      <w:numFmt w:val="lowerRoman"/>
      <w:lvlText w:val="%9."/>
      <w:lvlJc w:val="right"/>
      <w:pPr>
        <w:ind w:left="6971" w:hanging="180"/>
      </w:pPr>
    </w:lvl>
  </w:abstractNum>
  <w:abstractNum w:abstractNumId="3" w15:restartNumberingAfterBreak="0">
    <w:nsid w:val="6BF15D97"/>
    <w:multiLevelType w:val="hybridMultilevel"/>
    <w:tmpl w:val="88B278DA"/>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 w15:restartNumberingAfterBreak="0">
    <w:nsid w:val="6C5259FE"/>
    <w:multiLevelType w:val="hybridMultilevel"/>
    <w:tmpl w:val="39E0D840"/>
    <w:lvl w:ilvl="0" w:tplc="B1C2D094">
      <w:start w:val="1"/>
      <w:numFmt w:val="lowerLetter"/>
      <w:lvlText w:val="%1)"/>
      <w:lvlJc w:val="left"/>
      <w:pPr>
        <w:ind w:left="1571" w:hanging="360"/>
      </w:pPr>
      <w:rPr>
        <w:rFonts w:hint="default"/>
      </w:rPr>
    </w:lvl>
    <w:lvl w:ilvl="1" w:tplc="040F0019" w:tentative="1">
      <w:start w:val="1"/>
      <w:numFmt w:val="lowerLetter"/>
      <w:lvlText w:val="%2."/>
      <w:lvlJc w:val="left"/>
      <w:pPr>
        <w:ind w:left="2291" w:hanging="360"/>
      </w:pPr>
    </w:lvl>
    <w:lvl w:ilvl="2" w:tplc="040F001B" w:tentative="1">
      <w:start w:val="1"/>
      <w:numFmt w:val="lowerRoman"/>
      <w:lvlText w:val="%3."/>
      <w:lvlJc w:val="right"/>
      <w:pPr>
        <w:ind w:left="3011" w:hanging="180"/>
      </w:pPr>
    </w:lvl>
    <w:lvl w:ilvl="3" w:tplc="040F000F">
      <w:start w:val="1"/>
      <w:numFmt w:val="decimal"/>
      <w:lvlText w:val="%4."/>
      <w:lvlJc w:val="left"/>
      <w:pPr>
        <w:ind w:left="3731" w:hanging="360"/>
      </w:pPr>
    </w:lvl>
    <w:lvl w:ilvl="4" w:tplc="040F0019" w:tentative="1">
      <w:start w:val="1"/>
      <w:numFmt w:val="lowerLetter"/>
      <w:lvlText w:val="%5."/>
      <w:lvlJc w:val="left"/>
      <w:pPr>
        <w:ind w:left="4451" w:hanging="360"/>
      </w:pPr>
    </w:lvl>
    <w:lvl w:ilvl="5" w:tplc="040F001B" w:tentative="1">
      <w:start w:val="1"/>
      <w:numFmt w:val="lowerRoman"/>
      <w:lvlText w:val="%6."/>
      <w:lvlJc w:val="right"/>
      <w:pPr>
        <w:ind w:left="5171" w:hanging="180"/>
      </w:pPr>
    </w:lvl>
    <w:lvl w:ilvl="6" w:tplc="040F000F" w:tentative="1">
      <w:start w:val="1"/>
      <w:numFmt w:val="decimal"/>
      <w:lvlText w:val="%7."/>
      <w:lvlJc w:val="left"/>
      <w:pPr>
        <w:ind w:left="5891" w:hanging="360"/>
      </w:pPr>
    </w:lvl>
    <w:lvl w:ilvl="7" w:tplc="040F0019" w:tentative="1">
      <w:start w:val="1"/>
      <w:numFmt w:val="lowerLetter"/>
      <w:lvlText w:val="%8."/>
      <w:lvlJc w:val="left"/>
      <w:pPr>
        <w:ind w:left="6611" w:hanging="360"/>
      </w:pPr>
    </w:lvl>
    <w:lvl w:ilvl="8" w:tplc="040F001B" w:tentative="1">
      <w:start w:val="1"/>
      <w:numFmt w:val="lowerRoman"/>
      <w:lvlText w:val="%9."/>
      <w:lvlJc w:val="right"/>
      <w:pPr>
        <w:ind w:left="7331" w:hanging="180"/>
      </w:pPr>
    </w:lvl>
  </w:abstractNum>
  <w:abstractNum w:abstractNumId="5" w15:restartNumberingAfterBreak="0">
    <w:nsid w:val="6F695849"/>
    <w:multiLevelType w:val="hybridMultilevel"/>
    <w:tmpl w:val="FA342FDA"/>
    <w:lvl w:ilvl="0" w:tplc="CD34E6E2">
      <w:start w:val="3"/>
      <w:numFmt w:val="decimal"/>
      <w:lvlText w:val="%1)"/>
      <w:lvlJc w:val="left"/>
      <w:pPr>
        <w:ind w:left="1211" w:hanging="360"/>
      </w:pPr>
      <w:rPr>
        <w:rFonts w:hint="default"/>
      </w:rPr>
    </w:lvl>
    <w:lvl w:ilvl="1" w:tplc="040F0019" w:tentative="1">
      <w:start w:val="1"/>
      <w:numFmt w:val="lowerLetter"/>
      <w:lvlText w:val="%2."/>
      <w:lvlJc w:val="left"/>
      <w:pPr>
        <w:ind w:left="1931" w:hanging="360"/>
      </w:pPr>
    </w:lvl>
    <w:lvl w:ilvl="2" w:tplc="040F001B" w:tentative="1">
      <w:start w:val="1"/>
      <w:numFmt w:val="lowerRoman"/>
      <w:lvlText w:val="%3."/>
      <w:lvlJc w:val="right"/>
      <w:pPr>
        <w:ind w:left="2651" w:hanging="180"/>
      </w:pPr>
    </w:lvl>
    <w:lvl w:ilvl="3" w:tplc="040F000F">
      <w:start w:val="1"/>
      <w:numFmt w:val="decimal"/>
      <w:lvlText w:val="%4."/>
      <w:lvlJc w:val="left"/>
      <w:pPr>
        <w:ind w:left="3371" w:hanging="360"/>
      </w:pPr>
    </w:lvl>
    <w:lvl w:ilvl="4" w:tplc="040F0019" w:tentative="1">
      <w:start w:val="1"/>
      <w:numFmt w:val="lowerLetter"/>
      <w:lvlText w:val="%5."/>
      <w:lvlJc w:val="left"/>
      <w:pPr>
        <w:ind w:left="4091" w:hanging="360"/>
      </w:pPr>
    </w:lvl>
    <w:lvl w:ilvl="5" w:tplc="040F001B" w:tentative="1">
      <w:start w:val="1"/>
      <w:numFmt w:val="lowerRoman"/>
      <w:lvlText w:val="%6."/>
      <w:lvlJc w:val="right"/>
      <w:pPr>
        <w:ind w:left="4811" w:hanging="180"/>
      </w:pPr>
    </w:lvl>
    <w:lvl w:ilvl="6" w:tplc="040F000F" w:tentative="1">
      <w:start w:val="1"/>
      <w:numFmt w:val="decimal"/>
      <w:lvlText w:val="%7."/>
      <w:lvlJc w:val="left"/>
      <w:pPr>
        <w:ind w:left="5531" w:hanging="360"/>
      </w:pPr>
    </w:lvl>
    <w:lvl w:ilvl="7" w:tplc="040F0019" w:tentative="1">
      <w:start w:val="1"/>
      <w:numFmt w:val="lowerLetter"/>
      <w:lvlText w:val="%8."/>
      <w:lvlJc w:val="left"/>
      <w:pPr>
        <w:ind w:left="6251" w:hanging="360"/>
      </w:pPr>
    </w:lvl>
    <w:lvl w:ilvl="8" w:tplc="040F001B" w:tentative="1">
      <w:start w:val="1"/>
      <w:numFmt w:val="lowerRoman"/>
      <w:lvlText w:val="%9."/>
      <w:lvlJc w:val="right"/>
      <w:pPr>
        <w:ind w:left="6971" w:hanging="180"/>
      </w:p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597"/>
    <w:rsid w:val="00001597"/>
    <w:rsid w:val="00045CDF"/>
    <w:rsid w:val="000655D8"/>
    <w:rsid w:val="000858B3"/>
    <w:rsid w:val="000925DB"/>
    <w:rsid w:val="0009555C"/>
    <w:rsid w:val="000A54D0"/>
    <w:rsid w:val="000B25C9"/>
    <w:rsid w:val="000B58FE"/>
    <w:rsid w:val="00160801"/>
    <w:rsid w:val="00185F74"/>
    <w:rsid w:val="001C4647"/>
    <w:rsid w:val="00220BC6"/>
    <w:rsid w:val="002220DD"/>
    <w:rsid w:val="00256D4D"/>
    <w:rsid w:val="00260083"/>
    <w:rsid w:val="00267316"/>
    <w:rsid w:val="00271DCF"/>
    <w:rsid w:val="002979E2"/>
    <w:rsid w:val="002F7267"/>
    <w:rsid w:val="003314BE"/>
    <w:rsid w:val="0033356E"/>
    <w:rsid w:val="00334F56"/>
    <w:rsid w:val="00383C52"/>
    <w:rsid w:val="003B2389"/>
    <w:rsid w:val="003B531E"/>
    <w:rsid w:val="005459FA"/>
    <w:rsid w:val="005727BA"/>
    <w:rsid w:val="005738FA"/>
    <w:rsid w:val="00577287"/>
    <w:rsid w:val="005D1A4B"/>
    <w:rsid w:val="005D61ED"/>
    <w:rsid w:val="00631C4E"/>
    <w:rsid w:val="00636F82"/>
    <w:rsid w:val="00651BD1"/>
    <w:rsid w:val="00670C13"/>
    <w:rsid w:val="006A01DB"/>
    <w:rsid w:val="007A6560"/>
    <w:rsid w:val="007E5538"/>
    <w:rsid w:val="008112FC"/>
    <w:rsid w:val="00831F80"/>
    <w:rsid w:val="00872D51"/>
    <w:rsid w:val="00873EDC"/>
    <w:rsid w:val="00886323"/>
    <w:rsid w:val="008909E7"/>
    <w:rsid w:val="00893C74"/>
    <w:rsid w:val="008A0B60"/>
    <w:rsid w:val="008C7D13"/>
    <w:rsid w:val="008D6AB0"/>
    <w:rsid w:val="008E013F"/>
    <w:rsid w:val="008F4ABB"/>
    <w:rsid w:val="008F5174"/>
    <w:rsid w:val="00984EAA"/>
    <w:rsid w:val="00986B6A"/>
    <w:rsid w:val="009A3A32"/>
    <w:rsid w:val="009B2F7D"/>
    <w:rsid w:val="009C66A4"/>
    <w:rsid w:val="00A35F41"/>
    <w:rsid w:val="00AF0A1A"/>
    <w:rsid w:val="00B05271"/>
    <w:rsid w:val="00B06BA2"/>
    <w:rsid w:val="00B90520"/>
    <w:rsid w:val="00BD46E2"/>
    <w:rsid w:val="00BF7456"/>
    <w:rsid w:val="00C24893"/>
    <w:rsid w:val="00C61923"/>
    <w:rsid w:val="00C858FD"/>
    <w:rsid w:val="00CC6976"/>
    <w:rsid w:val="00CF2A03"/>
    <w:rsid w:val="00D144F7"/>
    <w:rsid w:val="00D47358"/>
    <w:rsid w:val="00D60084"/>
    <w:rsid w:val="00E3520D"/>
    <w:rsid w:val="00E42DF6"/>
    <w:rsid w:val="00E44999"/>
    <w:rsid w:val="00E935A0"/>
    <w:rsid w:val="00EC6107"/>
    <w:rsid w:val="00F30F25"/>
    <w:rsid w:val="00F60512"/>
    <w:rsid w:val="00F81015"/>
    <w:rsid w:val="00F9049F"/>
  </w:rsids>
  <m:mathPr>
    <m:mathFont m:val="Cambria Math"/>
    <m:brkBin m:val="before"/>
    <m:brkBinSub m:val="--"/>
    <m:smallFrac m:val="0"/>
    <m:dispDef/>
    <m:lMargin m:val="0"/>
    <m:rMargin m:val="0"/>
    <m:defJc m:val="centerGroup"/>
    <m:wrapIndent m:val="1440"/>
    <m:intLim m:val="subSup"/>
    <m:naryLim m:val="undOvr"/>
  </m:mathPr>
  <w:themeFontLang w:val="is-I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87740"/>
  <w15:chartTrackingRefBased/>
  <w15:docId w15:val="{AFB4DC32-FA84-4A33-9F51-5FDC5AC10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i"/>
    <w:qFormat/>
    <w:rsid w:val="00271DCF"/>
    <w:pPr>
      <w:ind w:left="851"/>
    </w:pPr>
    <w:rPr>
      <w:rFonts w:ascii="Times New Roman" w:hAnsi="Times New Roman"/>
      <w:sz w:val="24"/>
    </w:rPr>
  </w:style>
  <w:style w:type="paragraph" w:styleId="Heading1">
    <w:name w:val="heading 1"/>
    <w:basedOn w:val="Normal"/>
    <w:next w:val="Normal"/>
    <w:link w:val="Heading1Char"/>
    <w:uiPriority w:val="9"/>
    <w:qFormat/>
    <w:rsid w:val="00001597"/>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01597"/>
    <w:pPr>
      <w:keepNext/>
      <w:keepLines/>
      <w:spacing w:before="200"/>
      <w:outlineLvl w:val="1"/>
    </w:pPr>
    <w:rPr>
      <w:rFonts w:asciiTheme="majorHAnsi" w:eastAsiaTheme="majorEastAsia" w:hAnsiTheme="majorHAnsi" w:cstheme="majorBidi"/>
      <w:b/>
      <w:bCs/>
      <w:sz w:val="26"/>
      <w:szCs w:val="26"/>
    </w:rPr>
  </w:style>
  <w:style w:type="paragraph" w:styleId="Heading5">
    <w:name w:val="heading 5"/>
    <w:basedOn w:val="Normal"/>
    <w:next w:val="Normal"/>
    <w:link w:val="Heading5Char"/>
    <w:uiPriority w:val="9"/>
    <w:semiHidden/>
    <w:unhideWhenUsed/>
    <w:qFormat/>
    <w:rsid w:val="0000159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59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01597"/>
    <w:rPr>
      <w:rFonts w:asciiTheme="majorHAnsi" w:eastAsiaTheme="majorEastAsia" w:hAnsiTheme="majorHAnsi" w:cstheme="majorBidi"/>
      <w:b/>
      <w:bCs/>
      <w:sz w:val="26"/>
      <w:szCs w:val="26"/>
    </w:rPr>
  </w:style>
  <w:style w:type="paragraph" w:customStyle="1" w:styleId="abcflokkar">
    <w:name w:val="abc flokkar"/>
    <w:basedOn w:val="Normal"/>
    <w:link w:val="abcflokkarChar"/>
    <w:rsid w:val="00001597"/>
    <w:pPr>
      <w:spacing w:after="120"/>
      <w:jc w:val="both"/>
    </w:pPr>
    <w:rPr>
      <w:sz w:val="20"/>
      <w:szCs w:val="20"/>
    </w:rPr>
  </w:style>
  <w:style w:type="character" w:customStyle="1" w:styleId="abcflokkarChar">
    <w:name w:val="abc flokkar Char"/>
    <w:link w:val="abcflokkar"/>
    <w:rsid w:val="00001597"/>
    <w:rPr>
      <w:rFonts w:ascii="Times New Roman" w:eastAsia="Times New Roman" w:hAnsi="Times New Roman" w:cs="Times New Roman"/>
      <w:sz w:val="20"/>
      <w:szCs w:val="20"/>
    </w:rPr>
  </w:style>
  <w:style w:type="paragraph" w:customStyle="1" w:styleId="Li-fyrirsagnir">
    <w:name w:val="Lið-fyrirsagnir"/>
    <w:basedOn w:val="Heading5"/>
    <w:next w:val="Normal"/>
    <w:link w:val="Li-fyrirsagnirChar"/>
    <w:qFormat/>
    <w:rsid w:val="00271DCF"/>
    <w:pPr>
      <w:keepNext w:val="0"/>
      <w:keepLines w:val="0"/>
      <w:tabs>
        <w:tab w:val="num" w:pos="1008"/>
        <w:tab w:val="left" w:pos="1134"/>
      </w:tabs>
      <w:spacing w:before="120" w:after="120"/>
      <w:ind w:hanging="851"/>
    </w:pPr>
    <w:rPr>
      <w:rFonts w:ascii="Times New Roman" w:eastAsia="Times New Roman" w:hAnsi="Times New Roman" w:cs="Times New Roman"/>
      <w:b/>
      <w:bCs/>
      <w:iCs/>
      <w:color w:val="auto"/>
      <w:szCs w:val="26"/>
    </w:rPr>
  </w:style>
  <w:style w:type="paragraph" w:styleId="BodyTextIndent2">
    <w:name w:val="Body Text Indent 2"/>
    <w:basedOn w:val="Normal"/>
    <w:link w:val="BodyTextIndent2Char"/>
    <w:rsid w:val="00001597"/>
    <w:pPr>
      <w:spacing w:after="120"/>
      <w:ind w:firstLine="284"/>
    </w:pPr>
  </w:style>
  <w:style w:type="character" w:customStyle="1" w:styleId="BodyTextIndent2Char">
    <w:name w:val="Body Text Indent 2 Char"/>
    <w:basedOn w:val="DefaultParagraphFont"/>
    <w:link w:val="BodyTextIndent2"/>
    <w:rsid w:val="00001597"/>
    <w:rPr>
      <w:rFonts w:ascii="Times New Roman" w:eastAsia="Times New Roman" w:hAnsi="Times New Roman" w:cs="Times New Roman"/>
      <w:sz w:val="24"/>
      <w:szCs w:val="24"/>
    </w:rPr>
  </w:style>
  <w:style w:type="paragraph" w:styleId="ListParagraph">
    <w:name w:val="List Paragraph"/>
    <w:basedOn w:val="Normal"/>
    <w:uiPriority w:val="34"/>
    <w:qFormat/>
    <w:rsid w:val="00001597"/>
    <w:pPr>
      <w:ind w:left="720"/>
      <w:contextualSpacing/>
    </w:pPr>
  </w:style>
  <w:style w:type="paragraph" w:customStyle="1" w:styleId="abcflokkarsk">
    <w:name w:val="abc flokkar ská"/>
    <w:basedOn w:val="Normal"/>
    <w:rsid w:val="00001597"/>
    <w:pPr>
      <w:spacing w:before="85" w:after="85"/>
      <w:jc w:val="both"/>
    </w:pPr>
    <w:rPr>
      <w:rFonts w:ascii="Times" w:hAnsi="Times"/>
      <w:i/>
      <w:noProof/>
      <w:sz w:val="20"/>
      <w:szCs w:val="20"/>
      <w:lang w:eastAsia="is-IS"/>
    </w:rPr>
  </w:style>
  <w:style w:type="character" w:customStyle="1" w:styleId="Heading5Char">
    <w:name w:val="Heading 5 Char"/>
    <w:basedOn w:val="DefaultParagraphFont"/>
    <w:link w:val="Heading5"/>
    <w:uiPriority w:val="9"/>
    <w:semiHidden/>
    <w:rsid w:val="00001597"/>
    <w:rPr>
      <w:rFonts w:asciiTheme="majorHAnsi" w:eastAsiaTheme="majorEastAsia" w:hAnsiTheme="majorHAnsi" w:cstheme="majorBidi"/>
      <w:color w:val="2E74B5" w:themeColor="accent1" w:themeShade="BF"/>
      <w:sz w:val="24"/>
      <w:szCs w:val="24"/>
    </w:rPr>
  </w:style>
  <w:style w:type="character" w:customStyle="1" w:styleId="Li-fyrirsagnirChar">
    <w:name w:val="Lið-fyrirsagnir Char"/>
    <w:basedOn w:val="DefaultParagraphFont"/>
    <w:link w:val="Li-fyrirsagnir"/>
    <w:rsid w:val="00271DCF"/>
    <w:rPr>
      <w:rFonts w:ascii="Times New Roman" w:eastAsia="Times New Roman" w:hAnsi="Times New Roman" w:cs="Times New Roman"/>
      <w:b/>
      <w:bCs/>
      <w:iCs/>
      <w:sz w:val="24"/>
      <w:szCs w:val="26"/>
    </w:rPr>
  </w:style>
  <w:style w:type="paragraph" w:customStyle="1" w:styleId="Kaflafyrirsagnir">
    <w:name w:val="Kaflafyrirsagnir"/>
    <w:basedOn w:val="Heading1"/>
    <w:next w:val="Normal"/>
    <w:link w:val="KaflafyrirsagnirChar"/>
    <w:qFormat/>
    <w:rsid w:val="00271DCF"/>
    <w:pPr>
      <w:tabs>
        <w:tab w:val="left" w:pos="567"/>
        <w:tab w:val="left" w:pos="1134"/>
      </w:tabs>
      <w:spacing w:before="170" w:after="57" w:line="240" w:lineRule="auto"/>
      <w:ind w:left="709" w:right="40" w:hanging="709"/>
      <w:jc w:val="both"/>
    </w:pPr>
    <w:rPr>
      <w:rFonts w:ascii="Times" w:eastAsia="Times New Roman" w:hAnsi="Times" w:cs="Arial"/>
      <w:noProof/>
      <w:kern w:val="32"/>
      <w:sz w:val="24"/>
      <w:szCs w:val="32"/>
      <w:lang w:eastAsia="is-IS"/>
    </w:rPr>
  </w:style>
  <w:style w:type="character" w:customStyle="1" w:styleId="KaflafyrirsagnirChar">
    <w:name w:val="Kaflafyrirsagnir Char"/>
    <w:link w:val="Kaflafyrirsagnir"/>
    <w:rsid w:val="00271DCF"/>
    <w:rPr>
      <w:rFonts w:ascii="Times" w:eastAsia="Times New Roman" w:hAnsi="Times" w:cs="Arial"/>
      <w:b/>
      <w:bCs/>
      <w:noProof/>
      <w:kern w:val="32"/>
      <w:sz w:val="24"/>
      <w:szCs w:val="32"/>
      <w:lang w:eastAsia="is-IS"/>
    </w:rPr>
  </w:style>
  <w:style w:type="paragraph" w:styleId="NoSpacing">
    <w:name w:val="No Spacing"/>
    <w:aliases w:val="Verkþáttur"/>
    <w:uiPriority w:val="1"/>
    <w:qFormat/>
    <w:rsid w:val="00271DCF"/>
    <w:pPr>
      <w:tabs>
        <w:tab w:val="left" w:pos="284"/>
        <w:tab w:val="left" w:pos="851"/>
      </w:tabs>
      <w:spacing w:before="120" w:after="120" w:line="240" w:lineRule="auto"/>
      <w:ind w:left="851"/>
    </w:pPr>
    <w:rPr>
      <w:rFonts w:ascii="Times New Roman" w:eastAsiaTheme="minorEastAsia" w:hAnsi="Times New Roman"/>
      <w:sz w:val="24"/>
      <w:lang w:eastAsia="zh-CN"/>
    </w:rPr>
  </w:style>
  <w:style w:type="paragraph" w:styleId="TOCHeading">
    <w:name w:val="TOC Heading"/>
    <w:basedOn w:val="Heading1"/>
    <w:next w:val="Normal"/>
    <w:uiPriority w:val="39"/>
    <w:unhideWhenUsed/>
    <w:qFormat/>
    <w:rsid w:val="00267316"/>
    <w:pPr>
      <w:spacing w:before="240" w:after="0"/>
      <w:ind w:left="0"/>
      <w:outlineLvl w:val="9"/>
    </w:pPr>
    <w:rPr>
      <w:b w:val="0"/>
      <w:bCs w:val="0"/>
      <w:color w:val="2E74B5" w:themeColor="accent1" w:themeShade="BF"/>
      <w:sz w:val="32"/>
      <w:szCs w:val="32"/>
      <w:lang w:val="en-US"/>
    </w:rPr>
  </w:style>
  <w:style w:type="paragraph" w:styleId="TOC1">
    <w:name w:val="toc 1"/>
    <w:basedOn w:val="Normal"/>
    <w:next w:val="Normal"/>
    <w:autoRedefine/>
    <w:uiPriority w:val="39"/>
    <w:unhideWhenUsed/>
    <w:rsid w:val="00267316"/>
    <w:pPr>
      <w:spacing w:after="100"/>
      <w:ind w:left="0"/>
    </w:pPr>
  </w:style>
  <w:style w:type="character" w:styleId="Hyperlink">
    <w:name w:val="Hyperlink"/>
    <w:basedOn w:val="DefaultParagraphFont"/>
    <w:uiPriority w:val="99"/>
    <w:unhideWhenUsed/>
    <w:rsid w:val="00267316"/>
    <w:rPr>
      <w:color w:val="0563C1" w:themeColor="hyperlink"/>
      <w:u w:val="single"/>
    </w:rPr>
  </w:style>
  <w:style w:type="paragraph" w:styleId="Header">
    <w:name w:val="header"/>
    <w:basedOn w:val="Normal"/>
    <w:link w:val="HeaderChar"/>
    <w:uiPriority w:val="99"/>
    <w:unhideWhenUsed/>
    <w:rsid w:val="008A0B60"/>
    <w:pPr>
      <w:tabs>
        <w:tab w:val="center" w:pos="4536"/>
        <w:tab w:val="right" w:pos="9072"/>
      </w:tabs>
      <w:spacing w:after="0" w:line="240" w:lineRule="auto"/>
    </w:pPr>
  </w:style>
  <w:style w:type="character" w:customStyle="1" w:styleId="HeaderChar">
    <w:name w:val="Header Char"/>
    <w:basedOn w:val="DefaultParagraphFont"/>
    <w:link w:val="Header"/>
    <w:uiPriority w:val="99"/>
    <w:rsid w:val="008A0B60"/>
    <w:rPr>
      <w:rFonts w:ascii="Times New Roman" w:hAnsi="Times New Roman"/>
      <w:sz w:val="24"/>
    </w:rPr>
  </w:style>
  <w:style w:type="paragraph" w:styleId="Footer">
    <w:name w:val="footer"/>
    <w:basedOn w:val="Normal"/>
    <w:link w:val="FooterChar"/>
    <w:uiPriority w:val="99"/>
    <w:unhideWhenUsed/>
    <w:rsid w:val="008A0B60"/>
    <w:pPr>
      <w:tabs>
        <w:tab w:val="center" w:pos="4536"/>
        <w:tab w:val="right" w:pos="9072"/>
      </w:tabs>
      <w:spacing w:after="0" w:line="240" w:lineRule="auto"/>
    </w:pPr>
  </w:style>
  <w:style w:type="character" w:customStyle="1" w:styleId="FooterChar">
    <w:name w:val="Footer Char"/>
    <w:basedOn w:val="DefaultParagraphFont"/>
    <w:link w:val="Footer"/>
    <w:uiPriority w:val="99"/>
    <w:rsid w:val="008A0B60"/>
    <w:rPr>
      <w:rFonts w:ascii="Times New Roman" w:hAnsi="Times New Roman"/>
      <w:sz w:val="24"/>
    </w:rPr>
  </w:style>
  <w:style w:type="character" w:styleId="CommentReference">
    <w:name w:val="annotation reference"/>
    <w:basedOn w:val="DefaultParagraphFont"/>
    <w:uiPriority w:val="99"/>
    <w:semiHidden/>
    <w:unhideWhenUsed/>
    <w:rsid w:val="00C858FD"/>
    <w:rPr>
      <w:sz w:val="16"/>
      <w:szCs w:val="16"/>
    </w:rPr>
  </w:style>
  <w:style w:type="paragraph" w:styleId="CommentText">
    <w:name w:val="annotation text"/>
    <w:basedOn w:val="Normal"/>
    <w:link w:val="CommentTextChar"/>
    <w:uiPriority w:val="99"/>
    <w:semiHidden/>
    <w:unhideWhenUsed/>
    <w:rsid w:val="00C858FD"/>
    <w:pPr>
      <w:spacing w:line="240" w:lineRule="auto"/>
    </w:pPr>
    <w:rPr>
      <w:sz w:val="20"/>
      <w:szCs w:val="20"/>
    </w:rPr>
  </w:style>
  <w:style w:type="character" w:customStyle="1" w:styleId="CommentTextChar">
    <w:name w:val="Comment Text Char"/>
    <w:basedOn w:val="DefaultParagraphFont"/>
    <w:link w:val="CommentText"/>
    <w:uiPriority w:val="99"/>
    <w:semiHidden/>
    <w:rsid w:val="00C858F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58FD"/>
    <w:rPr>
      <w:b/>
      <w:bCs/>
    </w:rPr>
  </w:style>
  <w:style w:type="character" w:customStyle="1" w:styleId="CommentSubjectChar">
    <w:name w:val="Comment Subject Char"/>
    <w:basedOn w:val="CommentTextChar"/>
    <w:link w:val="CommentSubject"/>
    <w:uiPriority w:val="99"/>
    <w:semiHidden/>
    <w:rsid w:val="00C858FD"/>
    <w:rPr>
      <w:rFonts w:ascii="Times New Roman" w:hAnsi="Times New Roman"/>
      <w:b/>
      <w:bCs/>
      <w:sz w:val="20"/>
      <w:szCs w:val="20"/>
    </w:rPr>
  </w:style>
  <w:style w:type="paragraph" w:styleId="Revision">
    <w:name w:val="Revision"/>
    <w:hidden/>
    <w:uiPriority w:val="99"/>
    <w:semiHidden/>
    <w:rsid w:val="00C858FD"/>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C858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8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1332</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Vegagerðin</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Gísli Gíslason</dc:creator>
  <cp:keywords/>
  <dc:description/>
  <cp:lastModifiedBy>Gísli Gíslason - VG</cp:lastModifiedBy>
  <cp:revision>14</cp:revision>
  <dcterms:created xsi:type="dcterms:W3CDTF">2019-04-23T15:36:00Z</dcterms:created>
  <dcterms:modified xsi:type="dcterms:W3CDTF">2023-05-10T12:53:00Z</dcterms:modified>
</cp:coreProperties>
</file>