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8079797" w:displacedByCustomXml="next"/>
    <w:bookmarkStart w:id="1" w:name="_Toc296951843" w:displacedByCustomXml="next"/>
    <w:bookmarkStart w:id="2" w:name="_Toc184452162" w:displacedByCustomXml="next"/>
    <w:sdt>
      <w:sdtPr>
        <w:rPr>
          <w:rFonts w:ascii="Times New Roman" w:eastAsiaTheme="minorHAnsi" w:hAnsi="Times New Roman" w:cstheme="minorBidi"/>
          <w:color w:val="auto"/>
          <w:sz w:val="24"/>
          <w:szCs w:val="22"/>
          <w:lang w:val="is-IS"/>
        </w:rPr>
        <w:id w:val="-307624402"/>
        <w:docPartObj>
          <w:docPartGallery w:val="Table of Contents"/>
          <w:docPartUnique/>
        </w:docPartObj>
      </w:sdtPr>
      <w:sdtEndPr>
        <w:rPr>
          <w:b/>
          <w:bCs/>
          <w:noProof/>
        </w:rPr>
      </w:sdtEndPr>
      <w:sdtContent>
        <w:p w14:paraId="16A49211" w14:textId="77777777" w:rsidR="00D32F57" w:rsidRPr="00D32F57" w:rsidRDefault="00D32F57">
          <w:pPr>
            <w:pStyle w:val="TOCHeading"/>
            <w:rPr>
              <w:b/>
              <w:color w:val="auto"/>
            </w:rPr>
          </w:pPr>
          <w:r w:rsidRPr="00D32F57">
            <w:rPr>
              <w:b/>
              <w:color w:val="auto"/>
            </w:rPr>
            <w:t>Efnisyfirlit</w:t>
          </w:r>
        </w:p>
        <w:p w14:paraId="16A49212" w14:textId="77777777" w:rsidR="00377218" w:rsidRDefault="00D32F57">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2885" w:history="1">
            <w:r w:rsidR="00377218" w:rsidRPr="00A62F38">
              <w:rPr>
                <w:rStyle w:val="Hyperlink"/>
                <w:noProof/>
              </w:rPr>
              <w:t>Fræsun slitlags - Almenn lýsing</w:t>
            </w:r>
            <w:r w:rsidR="00377218">
              <w:rPr>
                <w:noProof/>
                <w:webHidden/>
              </w:rPr>
              <w:tab/>
            </w:r>
            <w:r w:rsidR="00377218">
              <w:rPr>
                <w:noProof/>
                <w:webHidden/>
              </w:rPr>
              <w:fldChar w:fldCharType="begin"/>
            </w:r>
            <w:r w:rsidR="00377218">
              <w:rPr>
                <w:noProof/>
                <w:webHidden/>
              </w:rPr>
              <w:instrText xml:space="preserve"> PAGEREF _Toc492602885 \h </w:instrText>
            </w:r>
            <w:r w:rsidR="00377218">
              <w:rPr>
                <w:noProof/>
                <w:webHidden/>
              </w:rPr>
            </w:r>
            <w:r w:rsidR="00377218">
              <w:rPr>
                <w:noProof/>
                <w:webHidden/>
              </w:rPr>
              <w:fldChar w:fldCharType="separate"/>
            </w:r>
            <w:r w:rsidR="00377218">
              <w:rPr>
                <w:noProof/>
                <w:webHidden/>
              </w:rPr>
              <w:t>1</w:t>
            </w:r>
            <w:r w:rsidR="00377218">
              <w:rPr>
                <w:noProof/>
                <w:webHidden/>
              </w:rPr>
              <w:fldChar w:fldCharType="end"/>
            </w:r>
          </w:hyperlink>
        </w:p>
        <w:p w14:paraId="16A49213" w14:textId="77777777" w:rsidR="00377218" w:rsidRDefault="00000000">
          <w:pPr>
            <w:pStyle w:val="TOC1"/>
            <w:tabs>
              <w:tab w:val="right" w:pos="9062"/>
            </w:tabs>
            <w:rPr>
              <w:rFonts w:asciiTheme="minorHAnsi" w:eastAsiaTheme="minorEastAsia" w:hAnsiTheme="minorHAnsi"/>
              <w:noProof/>
              <w:sz w:val="22"/>
              <w:lang w:eastAsia="is-IS"/>
            </w:rPr>
          </w:pPr>
          <w:hyperlink w:anchor="_Toc492602886" w:history="1">
            <w:r w:rsidR="00377218" w:rsidRPr="00A62F38">
              <w:rPr>
                <w:rStyle w:val="Hyperlink"/>
                <w:noProof/>
                <w:lang w:val="en-US"/>
              </w:rPr>
              <w:t>66.1 Gróffræsun</w:t>
            </w:r>
            <w:r w:rsidR="00377218">
              <w:rPr>
                <w:noProof/>
                <w:webHidden/>
              </w:rPr>
              <w:tab/>
            </w:r>
            <w:r w:rsidR="00377218">
              <w:rPr>
                <w:noProof/>
                <w:webHidden/>
              </w:rPr>
              <w:fldChar w:fldCharType="begin"/>
            </w:r>
            <w:r w:rsidR="00377218">
              <w:rPr>
                <w:noProof/>
                <w:webHidden/>
              </w:rPr>
              <w:instrText xml:space="preserve"> PAGEREF _Toc492602886 \h </w:instrText>
            </w:r>
            <w:r w:rsidR="00377218">
              <w:rPr>
                <w:noProof/>
                <w:webHidden/>
              </w:rPr>
            </w:r>
            <w:r w:rsidR="00377218">
              <w:rPr>
                <w:noProof/>
                <w:webHidden/>
              </w:rPr>
              <w:fldChar w:fldCharType="separate"/>
            </w:r>
            <w:r w:rsidR="00377218">
              <w:rPr>
                <w:noProof/>
                <w:webHidden/>
              </w:rPr>
              <w:t>2</w:t>
            </w:r>
            <w:r w:rsidR="00377218">
              <w:rPr>
                <w:noProof/>
                <w:webHidden/>
              </w:rPr>
              <w:fldChar w:fldCharType="end"/>
            </w:r>
          </w:hyperlink>
        </w:p>
        <w:p w14:paraId="16A49214" w14:textId="77777777" w:rsidR="00377218" w:rsidRDefault="00000000">
          <w:pPr>
            <w:pStyle w:val="TOC1"/>
            <w:tabs>
              <w:tab w:val="right" w:pos="9062"/>
            </w:tabs>
            <w:rPr>
              <w:rFonts w:asciiTheme="minorHAnsi" w:eastAsiaTheme="minorEastAsia" w:hAnsiTheme="minorHAnsi"/>
              <w:noProof/>
              <w:sz w:val="22"/>
              <w:lang w:eastAsia="is-IS"/>
            </w:rPr>
          </w:pPr>
          <w:hyperlink w:anchor="_Toc492602887" w:history="1">
            <w:r w:rsidR="00377218" w:rsidRPr="00A62F38">
              <w:rPr>
                <w:rStyle w:val="Hyperlink"/>
                <w:noProof/>
                <w:lang w:val="en-US"/>
              </w:rPr>
              <w:t>66.11 Gróffræsun klæðingar</w:t>
            </w:r>
            <w:r w:rsidR="00377218">
              <w:rPr>
                <w:noProof/>
                <w:webHidden/>
              </w:rPr>
              <w:tab/>
            </w:r>
            <w:r w:rsidR="00377218">
              <w:rPr>
                <w:noProof/>
                <w:webHidden/>
              </w:rPr>
              <w:fldChar w:fldCharType="begin"/>
            </w:r>
            <w:r w:rsidR="00377218">
              <w:rPr>
                <w:noProof/>
                <w:webHidden/>
              </w:rPr>
              <w:instrText xml:space="preserve"> PAGEREF _Toc492602887 \h </w:instrText>
            </w:r>
            <w:r w:rsidR="00377218">
              <w:rPr>
                <w:noProof/>
                <w:webHidden/>
              </w:rPr>
            </w:r>
            <w:r w:rsidR="00377218">
              <w:rPr>
                <w:noProof/>
                <w:webHidden/>
              </w:rPr>
              <w:fldChar w:fldCharType="separate"/>
            </w:r>
            <w:r w:rsidR="00377218">
              <w:rPr>
                <w:noProof/>
                <w:webHidden/>
              </w:rPr>
              <w:t>2</w:t>
            </w:r>
            <w:r w:rsidR="00377218">
              <w:rPr>
                <w:noProof/>
                <w:webHidden/>
              </w:rPr>
              <w:fldChar w:fldCharType="end"/>
            </w:r>
          </w:hyperlink>
        </w:p>
        <w:p w14:paraId="16A49215" w14:textId="77777777" w:rsidR="00377218" w:rsidRDefault="00000000">
          <w:pPr>
            <w:pStyle w:val="TOC1"/>
            <w:tabs>
              <w:tab w:val="right" w:pos="9062"/>
            </w:tabs>
            <w:rPr>
              <w:rFonts w:asciiTheme="minorHAnsi" w:eastAsiaTheme="minorEastAsia" w:hAnsiTheme="minorHAnsi"/>
              <w:noProof/>
              <w:sz w:val="22"/>
              <w:lang w:eastAsia="is-IS"/>
            </w:rPr>
          </w:pPr>
          <w:hyperlink w:anchor="_Toc492602888" w:history="1">
            <w:r w:rsidR="00377218" w:rsidRPr="00A62F38">
              <w:rPr>
                <w:rStyle w:val="Hyperlink"/>
                <w:noProof/>
                <w:lang w:val="en-US"/>
              </w:rPr>
              <w:t>66.2 Fínfræsun</w:t>
            </w:r>
            <w:r w:rsidR="00377218">
              <w:rPr>
                <w:noProof/>
                <w:webHidden/>
              </w:rPr>
              <w:tab/>
            </w:r>
            <w:r w:rsidR="00377218">
              <w:rPr>
                <w:noProof/>
                <w:webHidden/>
              </w:rPr>
              <w:fldChar w:fldCharType="begin"/>
            </w:r>
            <w:r w:rsidR="00377218">
              <w:rPr>
                <w:noProof/>
                <w:webHidden/>
              </w:rPr>
              <w:instrText xml:space="preserve"> PAGEREF _Toc492602888 \h </w:instrText>
            </w:r>
            <w:r w:rsidR="00377218">
              <w:rPr>
                <w:noProof/>
                <w:webHidden/>
              </w:rPr>
            </w:r>
            <w:r w:rsidR="00377218">
              <w:rPr>
                <w:noProof/>
                <w:webHidden/>
              </w:rPr>
              <w:fldChar w:fldCharType="separate"/>
            </w:r>
            <w:r w:rsidR="00377218">
              <w:rPr>
                <w:noProof/>
                <w:webHidden/>
              </w:rPr>
              <w:t>2</w:t>
            </w:r>
            <w:r w:rsidR="00377218">
              <w:rPr>
                <w:noProof/>
                <w:webHidden/>
              </w:rPr>
              <w:fldChar w:fldCharType="end"/>
            </w:r>
          </w:hyperlink>
        </w:p>
        <w:p w14:paraId="16A49216" w14:textId="77777777" w:rsidR="00D32F57" w:rsidRDefault="00D32F57">
          <w:r>
            <w:rPr>
              <w:b/>
              <w:bCs/>
              <w:noProof/>
            </w:rPr>
            <w:fldChar w:fldCharType="end"/>
          </w:r>
        </w:p>
      </w:sdtContent>
    </w:sdt>
    <w:p w14:paraId="16A49217" w14:textId="77777777" w:rsidR="00B65488" w:rsidRPr="00D32F57" w:rsidRDefault="00CF0621" w:rsidP="00D32F57">
      <w:pPr>
        <w:pStyle w:val="Kaflafyrirsagnir"/>
      </w:pPr>
      <w:bookmarkStart w:id="3" w:name="_Toc492602885"/>
      <w:r w:rsidRPr="00D32F57">
        <w:t>F</w:t>
      </w:r>
      <w:r w:rsidR="00B65488" w:rsidRPr="00D32F57">
        <w:t>ræsun slitlags</w:t>
      </w:r>
      <w:bookmarkEnd w:id="0"/>
      <w:r w:rsidR="00377218">
        <w:t xml:space="preserve"> -</w:t>
      </w:r>
      <w:r w:rsidR="00B65488" w:rsidRPr="00D32F57">
        <w:t xml:space="preserve"> </w:t>
      </w:r>
      <w:r w:rsidR="00D32F57">
        <w:t>Almenn lýsing</w:t>
      </w:r>
      <w:bookmarkEnd w:id="3"/>
    </w:p>
    <w:p w14:paraId="16A49218" w14:textId="77777777" w:rsidR="00BB3008" w:rsidRPr="00BB3008" w:rsidRDefault="00BB3008" w:rsidP="00BB3008">
      <w:pPr>
        <w:pStyle w:val="Li-fyrirsagnir"/>
      </w:pPr>
      <w:bookmarkStart w:id="4" w:name="_Toc184452167"/>
      <w:bookmarkEnd w:id="2"/>
      <w:bookmarkEnd w:id="1"/>
      <w:r w:rsidRPr="00BB3008">
        <w:t>a)</w:t>
      </w:r>
      <w:r w:rsidRPr="00BB3008">
        <w:tab/>
        <w:t>Verksvið</w:t>
      </w:r>
    </w:p>
    <w:p w14:paraId="16A49219" w14:textId="77777777" w:rsidR="00683DAE" w:rsidRPr="00683DAE" w:rsidRDefault="00683DAE" w:rsidP="00BB3008">
      <w:pPr>
        <w:rPr>
          <w:b/>
          <w:bCs/>
        </w:rPr>
      </w:pPr>
      <w:r w:rsidRPr="00683DAE">
        <w:t>Verksviðið innifelur allan kostnað við fræsun slitlags, upptekt og flutning á fræstu efni á lager eða við hlið vegar og hreinsun vegyfirborðs ásamt uppsetningu og niðurtekt á umferðamerkjum. Einnig er innifalið lokun vega og beining umferðar í samráði við verkkaupa og viðkomandi yfirvöld ásamt tilkynningum um slíkar aðgerðir til aðila sem málið varðar (sjúkra- og slökkviliðs, almenningsvagna, fjölmiðla o.fl.).</w:t>
      </w:r>
    </w:p>
    <w:p w14:paraId="16A4921A" w14:textId="77777777" w:rsidR="00BB3008" w:rsidRPr="00845AD2" w:rsidRDefault="00B65488" w:rsidP="00BB3008">
      <w:pPr>
        <w:pStyle w:val="Li-fyrirsagnir"/>
      </w:pPr>
      <w:r w:rsidRPr="00683DAE">
        <w:t>b)</w:t>
      </w:r>
      <w:r w:rsidRPr="00683DAE">
        <w:tab/>
      </w:r>
      <w:bookmarkEnd w:id="4"/>
      <w:r w:rsidR="00BB3008" w:rsidRPr="00845AD2">
        <w:t>Efniskröfur</w:t>
      </w:r>
    </w:p>
    <w:p w14:paraId="16A4921B" w14:textId="77777777" w:rsidR="00B65488" w:rsidRPr="00683DAE" w:rsidRDefault="00B65488" w:rsidP="00BB3008">
      <w:r w:rsidRPr="00683DAE">
        <w:t xml:space="preserve">Efni til breytinga á hæð niðurfalla og brunna skal vera í samræmi við það sem fyrir er í veginum. </w:t>
      </w:r>
    </w:p>
    <w:p w14:paraId="16A4921C" w14:textId="77777777" w:rsidR="00BB3008" w:rsidRPr="00BB3008" w:rsidRDefault="00B65488" w:rsidP="00BB3008">
      <w:pPr>
        <w:pStyle w:val="Li-fyrirsagnir"/>
      </w:pPr>
      <w:bookmarkStart w:id="5" w:name="_Toc184452168"/>
      <w:r w:rsidRPr="00BB3008">
        <w:t>c)</w:t>
      </w:r>
      <w:r w:rsidRPr="00BB3008">
        <w:tab/>
      </w:r>
      <w:bookmarkEnd w:id="5"/>
      <w:r w:rsidR="00BB3008" w:rsidRPr="00BB3008">
        <w:t>Vinnugæði</w:t>
      </w:r>
    </w:p>
    <w:p w14:paraId="16A4921D" w14:textId="77777777" w:rsidR="00B65488" w:rsidRPr="00683DAE" w:rsidRDefault="00B65488" w:rsidP="00BB3008">
      <w:pPr>
        <w:rPr>
          <w:b/>
        </w:rPr>
      </w:pPr>
      <w:r w:rsidRPr="00683DAE">
        <w:t xml:space="preserve">Fræsa skal slitlag í samræmi við fyrirmæli, í þeirri dýpt eða hæð, og með þeim þverhalla sem kveðið er á um.  </w:t>
      </w:r>
    </w:p>
    <w:p w14:paraId="16A4921E" w14:textId="77777777" w:rsidR="00B65488" w:rsidRPr="00683DAE" w:rsidRDefault="00B65488" w:rsidP="00BB3008">
      <w:pPr>
        <w:rPr>
          <w:szCs w:val="24"/>
        </w:rPr>
      </w:pPr>
      <w:r w:rsidRPr="00683DAE">
        <w:rPr>
          <w:szCs w:val="24"/>
        </w:rPr>
        <w:t xml:space="preserve">Fræsimynstur skal vera reglulegt án hlykkja og samsíða akbraut. Þar sem fræst er á gatnamótum skal hlíta fyrirmælum um samskeyti á fræsimynstri hliðargötu og aðalvegar. Hreinsa skal vegyfirborðið strax að lokinni fræsun. </w:t>
      </w:r>
    </w:p>
    <w:p w14:paraId="16A4921F" w14:textId="77777777" w:rsidR="00B65488" w:rsidRPr="00683DAE" w:rsidRDefault="00B65488" w:rsidP="00B65488">
      <w:pPr>
        <w:pStyle w:val="abcflokkar"/>
        <w:jc w:val="both"/>
        <w:rPr>
          <w:color w:val="auto"/>
          <w:sz w:val="24"/>
          <w:szCs w:val="24"/>
        </w:rPr>
      </w:pPr>
      <w:r w:rsidRPr="00683DAE">
        <w:rPr>
          <w:color w:val="auto"/>
          <w:sz w:val="24"/>
          <w:szCs w:val="24"/>
        </w:rPr>
        <w:t>Fræstir fletir sem nota á sem slitlag skulu fullnægja kröfum um sléttleika. Þess skal gætt að ganga frá köntum og skeytum í samræmi við fyrirmæli.</w:t>
      </w:r>
    </w:p>
    <w:p w14:paraId="16A49220" w14:textId="77777777" w:rsidR="00B65488" w:rsidRPr="00683DAE" w:rsidRDefault="00B65488" w:rsidP="00B65488">
      <w:pPr>
        <w:pStyle w:val="abcflokkar"/>
        <w:jc w:val="both"/>
        <w:rPr>
          <w:color w:val="auto"/>
          <w:sz w:val="24"/>
          <w:szCs w:val="24"/>
        </w:rPr>
      </w:pPr>
      <w:r w:rsidRPr="00683DAE">
        <w:rPr>
          <w:color w:val="auto"/>
          <w:sz w:val="24"/>
          <w:szCs w:val="24"/>
        </w:rPr>
        <w:t xml:space="preserve">Verktaki skal gæta þess að hann valdi ekki óþarfa ryk- og hávaðamengun. Verkkaupi getur takmarkað vinnutíma þegar unnið er við fræsun </w:t>
      </w:r>
      <w:r w:rsidR="002F52F5" w:rsidRPr="00683DAE">
        <w:rPr>
          <w:color w:val="auto"/>
          <w:sz w:val="24"/>
          <w:szCs w:val="24"/>
        </w:rPr>
        <w:t>í byggð</w:t>
      </w:r>
      <w:r w:rsidRPr="00683DAE">
        <w:rPr>
          <w:color w:val="auto"/>
          <w:sz w:val="24"/>
          <w:szCs w:val="24"/>
        </w:rPr>
        <w:t>.</w:t>
      </w:r>
    </w:p>
    <w:p w14:paraId="16A49221" w14:textId="77777777" w:rsidR="00B65488" w:rsidRPr="00683DAE" w:rsidRDefault="00B65488" w:rsidP="00B65488">
      <w:pPr>
        <w:pStyle w:val="abcflokkar"/>
        <w:jc w:val="both"/>
        <w:rPr>
          <w:color w:val="auto"/>
          <w:sz w:val="24"/>
          <w:szCs w:val="24"/>
        </w:rPr>
      </w:pPr>
      <w:r w:rsidRPr="00683DAE">
        <w:rPr>
          <w:color w:val="auto"/>
          <w:sz w:val="24"/>
          <w:szCs w:val="24"/>
        </w:rPr>
        <w:t>Fræsiför til ílagnar nýs malbiks skulu vera samkvæmt fyrirmælum.</w:t>
      </w:r>
    </w:p>
    <w:p w14:paraId="16A49222" w14:textId="77777777" w:rsidR="00BB3008" w:rsidRPr="00845AD2" w:rsidRDefault="00BB3008" w:rsidP="00BB3008">
      <w:pPr>
        <w:pStyle w:val="Li-fyrirsagnir"/>
      </w:pPr>
      <w:r w:rsidRPr="00845AD2">
        <w:t>d)</w:t>
      </w:r>
      <w:r w:rsidRPr="00845AD2">
        <w:tab/>
        <w:t>Prófanir og mælingar</w:t>
      </w:r>
    </w:p>
    <w:p w14:paraId="16A49223" w14:textId="77777777" w:rsidR="00B65488" w:rsidRPr="00683DAE" w:rsidRDefault="00B65488" w:rsidP="00BB3008">
      <w:r w:rsidRPr="00683DAE">
        <w:t xml:space="preserve">Verktaki skal sannreyna dýpt og/eða hæð fræsunar og þverhalla á fræstu yfirborði með réttskeið eða öðrum jafngóðum mælingum, um leið og fræst er. Gera skal þessar mælingar á 20 m fresti, skrá allar niðurstöður og afhenda verkkaupa. </w:t>
      </w:r>
    </w:p>
    <w:p w14:paraId="16A49224" w14:textId="77777777" w:rsidR="00BB3008" w:rsidRPr="00845AD2" w:rsidRDefault="00BB3008" w:rsidP="00BB3008">
      <w:pPr>
        <w:pStyle w:val="Li-fyrirsagnir"/>
      </w:pPr>
      <w:r w:rsidRPr="00845AD2">
        <w:t>e)</w:t>
      </w:r>
      <w:r w:rsidRPr="00845AD2">
        <w:tab/>
        <w:t>Nákvæmniskröfur – Frávik</w:t>
      </w:r>
    </w:p>
    <w:p w14:paraId="16A49225" w14:textId="77777777" w:rsidR="00B65488" w:rsidRPr="00683DAE" w:rsidRDefault="00B65488" w:rsidP="00BB3008">
      <w:pPr>
        <w:rPr>
          <w:b/>
        </w:rPr>
      </w:pPr>
      <w:r w:rsidRPr="00683DAE">
        <w:t>Leyfð frávik í láréttum fleti frá hönnuðum axlarbrúnum  akbrautar  er +10/-0 mm.</w:t>
      </w:r>
    </w:p>
    <w:p w14:paraId="16A49226" w14:textId="77777777" w:rsidR="00B65488" w:rsidRPr="00683DAE" w:rsidRDefault="00B65488" w:rsidP="00BB3008">
      <w:pPr>
        <w:rPr>
          <w:szCs w:val="24"/>
        </w:rPr>
      </w:pPr>
      <w:r w:rsidRPr="00683DAE">
        <w:rPr>
          <w:szCs w:val="24"/>
        </w:rPr>
        <w:t>Leyfð frávik í dýpt fræsingar eru að sérhver mæling skal ná minnst 90 % af dýpt og mest 110% og meðaltal allra mælinga skal ná 100% af hannaðri dýpt.</w:t>
      </w:r>
    </w:p>
    <w:p w14:paraId="16A49227" w14:textId="77777777" w:rsidR="00B65488" w:rsidRPr="00683DAE" w:rsidRDefault="00B65488" w:rsidP="00BB3008">
      <w:pPr>
        <w:rPr>
          <w:szCs w:val="24"/>
          <w:lang w:eastAsia="is-IS"/>
        </w:rPr>
      </w:pPr>
      <w:r w:rsidRPr="00683DAE">
        <w:rPr>
          <w:szCs w:val="24"/>
          <w:lang w:eastAsia="is-IS"/>
        </w:rPr>
        <w:t>Þegar yfirborð er fræst samkvæmt hannaðri hæðarlegu eru leyfð frávik í hæðarlegu yfirborðs og  sléttleika samkvæmt</w:t>
      </w:r>
      <w:r w:rsidR="00E66C5B" w:rsidRPr="00683DAE">
        <w:rPr>
          <w:szCs w:val="24"/>
          <w:lang w:eastAsia="is-IS"/>
        </w:rPr>
        <w:t xml:space="preserve"> neðangreindu:</w:t>
      </w:r>
    </w:p>
    <w:p w14:paraId="16A49228" w14:textId="77777777" w:rsidR="00B65488" w:rsidRPr="00683DAE" w:rsidRDefault="00B65488" w:rsidP="00B65488">
      <w:pPr>
        <w:pStyle w:val="abcflokkar"/>
        <w:ind w:left="1134"/>
        <w:jc w:val="both"/>
        <w:rPr>
          <w:noProof/>
          <w:color w:val="auto"/>
          <w:sz w:val="24"/>
          <w:szCs w:val="24"/>
        </w:rPr>
      </w:pP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259"/>
        <w:gridCol w:w="1555"/>
      </w:tblGrid>
      <w:tr w:rsidR="002F52F5" w:rsidRPr="00683DAE" w14:paraId="16A4922B" w14:textId="77777777" w:rsidTr="00760E15">
        <w:tc>
          <w:tcPr>
            <w:tcW w:w="0" w:type="auto"/>
            <w:shd w:val="clear" w:color="auto" w:fill="auto"/>
            <w:vAlign w:val="center"/>
          </w:tcPr>
          <w:p w14:paraId="16A49229" w14:textId="77777777" w:rsidR="00B65488" w:rsidRPr="00683DAE" w:rsidRDefault="00B65488" w:rsidP="00760E15">
            <w:pPr>
              <w:pStyle w:val="abcflokkar"/>
              <w:ind w:left="1134" w:right="-7"/>
              <w:rPr>
                <w:b/>
                <w:color w:val="auto"/>
                <w:sz w:val="24"/>
                <w:szCs w:val="24"/>
              </w:rPr>
            </w:pPr>
          </w:p>
        </w:tc>
        <w:tc>
          <w:tcPr>
            <w:tcW w:w="0" w:type="auto"/>
            <w:shd w:val="clear" w:color="auto" w:fill="auto"/>
            <w:vAlign w:val="center"/>
          </w:tcPr>
          <w:p w14:paraId="16A4922A" w14:textId="77777777" w:rsidR="00B65488" w:rsidRPr="00683DAE" w:rsidRDefault="00B65488" w:rsidP="00760E15">
            <w:pPr>
              <w:pStyle w:val="abcflokkar"/>
              <w:ind w:left="0" w:right="-7"/>
              <w:rPr>
                <w:b/>
                <w:color w:val="auto"/>
                <w:sz w:val="24"/>
                <w:szCs w:val="24"/>
              </w:rPr>
            </w:pPr>
            <w:r w:rsidRPr="00683DAE">
              <w:rPr>
                <w:b/>
                <w:color w:val="auto"/>
                <w:sz w:val="24"/>
                <w:szCs w:val="24"/>
              </w:rPr>
              <w:t>Mæling</w:t>
            </w:r>
          </w:p>
        </w:tc>
      </w:tr>
      <w:tr w:rsidR="002F52F5" w:rsidRPr="00683DAE" w14:paraId="16A4922E" w14:textId="77777777" w:rsidTr="00760E15">
        <w:tc>
          <w:tcPr>
            <w:tcW w:w="0" w:type="auto"/>
            <w:shd w:val="clear" w:color="auto" w:fill="auto"/>
            <w:vAlign w:val="center"/>
          </w:tcPr>
          <w:p w14:paraId="16A4922C" w14:textId="77777777" w:rsidR="00B65488" w:rsidRPr="00683DAE" w:rsidRDefault="00B65488" w:rsidP="00BB3008">
            <w:r w:rsidRPr="00683DAE">
              <w:t>Mestu ójöfnu á akrein mældar með 3 m réttskeið (mm)</w:t>
            </w:r>
          </w:p>
        </w:tc>
        <w:tc>
          <w:tcPr>
            <w:tcW w:w="0" w:type="auto"/>
            <w:shd w:val="clear" w:color="auto" w:fill="auto"/>
            <w:vAlign w:val="center"/>
          </w:tcPr>
          <w:p w14:paraId="16A4922D" w14:textId="77777777" w:rsidR="00B65488" w:rsidRPr="00683DAE" w:rsidRDefault="00B65488" w:rsidP="00BB3008">
            <w:r w:rsidRPr="00683DAE">
              <w:t>6</w:t>
            </w:r>
          </w:p>
        </w:tc>
      </w:tr>
      <w:tr w:rsidR="002F52F5" w:rsidRPr="00683DAE" w14:paraId="16A49231" w14:textId="77777777" w:rsidTr="00760E15">
        <w:tc>
          <w:tcPr>
            <w:tcW w:w="0" w:type="auto"/>
            <w:shd w:val="clear" w:color="auto" w:fill="auto"/>
            <w:vAlign w:val="center"/>
          </w:tcPr>
          <w:p w14:paraId="16A4922F" w14:textId="77777777" w:rsidR="00B65488" w:rsidRPr="00683DAE" w:rsidRDefault="00B65488" w:rsidP="00BB3008">
            <w:r w:rsidRPr="00683DAE">
              <w:t>Mesta frávik frá hönnuðu yfirborði (mm)</w:t>
            </w:r>
          </w:p>
        </w:tc>
        <w:tc>
          <w:tcPr>
            <w:tcW w:w="0" w:type="auto"/>
            <w:shd w:val="clear" w:color="auto" w:fill="auto"/>
            <w:vAlign w:val="center"/>
          </w:tcPr>
          <w:p w14:paraId="16A49230" w14:textId="77777777" w:rsidR="00B65488" w:rsidRPr="00683DAE" w:rsidRDefault="00B65488" w:rsidP="00BB3008">
            <w:r w:rsidRPr="00683DAE">
              <w:sym w:font="Symbol" w:char="F0B1"/>
            </w:r>
            <w:r w:rsidRPr="00683DAE">
              <w:t xml:space="preserve"> 30</w:t>
            </w:r>
          </w:p>
        </w:tc>
      </w:tr>
      <w:tr w:rsidR="002F52F5" w:rsidRPr="00683DAE" w14:paraId="16A49234" w14:textId="77777777" w:rsidTr="00760E15">
        <w:tc>
          <w:tcPr>
            <w:tcW w:w="0" w:type="auto"/>
            <w:shd w:val="clear" w:color="auto" w:fill="auto"/>
            <w:vAlign w:val="center"/>
          </w:tcPr>
          <w:p w14:paraId="16A49232" w14:textId="77777777" w:rsidR="00B65488" w:rsidRPr="00683DAE" w:rsidRDefault="00B65488" w:rsidP="00BB3008">
            <w:r w:rsidRPr="00683DAE">
              <w:t>Mesta hæðarbreyting á 20 m (mm)</w:t>
            </w:r>
          </w:p>
        </w:tc>
        <w:tc>
          <w:tcPr>
            <w:tcW w:w="0" w:type="auto"/>
            <w:shd w:val="clear" w:color="auto" w:fill="auto"/>
            <w:vAlign w:val="center"/>
          </w:tcPr>
          <w:p w14:paraId="16A49233" w14:textId="77777777" w:rsidR="00B65488" w:rsidRPr="00683DAE" w:rsidRDefault="00B65488" w:rsidP="00BB3008">
            <w:r w:rsidRPr="00683DAE">
              <w:sym w:font="Symbol" w:char="F0B1"/>
            </w:r>
            <w:r w:rsidRPr="00683DAE">
              <w:t xml:space="preserve"> 15</w:t>
            </w:r>
          </w:p>
        </w:tc>
      </w:tr>
      <w:tr w:rsidR="00B65488" w:rsidRPr="00683DAE" w14:paraId="16A49237" w14:textId="77777777" w:rsidTr="00760E15">
        <w:tc>
          <w:tcPr>
            <w:tcW w:w="0" w:type="auto"/>
            <w:shd w:val="clear" w:color="auto" w:fill="auto"/>
            <w:vAlign w:val="center"/>
          </w:tcPr>
          <w:p w14:paraId="16A49235" w14:textId="77777777" w:rsidR="00B65488" w:rsidRPr="00683DAE" w:rsidRDefault="00B65488" w:rsidP="00BB3008">
            <w:r w:rsidRPr="00683DAE">
              <w:t>Mest frávik frá hönnuðum þverhalla (‰)</w:t>
            </w:r>
          </w:p>
        </w:tc>
        <w:tc>
          <w:tcPr>
            <w:tcW w:w="0" w:type="auto"/>
            <w:shd w:val="clear" w:color="auto" w:fill="auto"/>
            <w:vAlign w:val="center"/>
          </w:tcPr>
          <w:p w14:paraId="16A49236" w14:textId="77777777" w:rsidR="00B65488" w:rsidRPr="00683DAE" w:rsidRDefault="00B65488" w:rsidP="00BB3008">
            <w:r w:rsidRPr="00683DAE">
              <w:sym w:font="Symbol" w:char="F0B1"/>
            </w:r>
            <w:r w:rsidRPr="00683DAE">
              <w:t xml:space="preserve"> 3,5</w:t>
            </w:r>
          </w:p>
        </w:tc>
      </w:tr>
    </w:tbl>
    <w:p w14:paraId="16A49238" w14:textId="77777777" w:rsidR="00B65488" w:rsidRDefault="00B65488" w:rsidP="00BB3008">
      <w:r w:rsidRPr="00683DAE">
        <w:t xml:space="preserve">Þversamskeyti milli fræsts yfirborðs og eldra slitlags skal aldrei vera meira en 10 mm mælt með á 3 </w:t>
      </w:r>
      <w:r w:rsidRPr="002F52F5">
        <w:t>m réttskeið á yfirborði og skal jafnast út á 10 m bili.</w:t>
      </w:r>
    </w:p>
    <w:p w14:paraId="16A49239" w14:textId="77777777" w:rsidR="00BB3008" w:rsidRPr="005231A3" w:rsidRDefault="00BB3008" w:rsidP="00D32F57">
      <w:pPr>
        <w:pStyle w:val="Kaflafyrirsagnir"/>
        <w:rPr>
          <w:rFonts w:eastAsiaTheme="minorEastAsia"/>
          <w:lang w:val="en-US"/>
        </w:rPr>
      </w:pPr>
      <w:bookmarkStart w:id="6" w:name="_Toc492602886"/>
      <w:r w:rsidRPr="005231A3">
        <w:rPr>
          <w:rFonts w:eastAsiaTheme="minorEastAsia"/>
          <w:lang w:val="en-US"/>
        </w:rPr>
        <w:t>66.1 Gróffræsun</w:t>
      </w:r>
      <w:bookmarkEnd w:id="6"/>
    </w:p>
    <w:p w14:paraId="16A4923A" w14:textId="77777777" w:rsidR="00D32F57" w:rsidRDefault="00BB3008" w:rsidP="00D32F57">
      <w:pPr>
        <w:pStyle w:val="NoSpacing"/>
        <w:rPr>
          <w:i/>
          <w:color w:val="4F81BD" w:themeColor="accent1"/>
        </w:rPr>
      </w:pPr>
      <w:r w:rsidRPr="002F52F5">
        <w:t>a)</w:t>
      </w:r>
      <w:r w:rsidRPr="002F52F5">
        <w:tab/>
      </w:r>
      <w:r w:rsidR="006507BB">
        <w:t>Um er að ræða</w:t>
      </w:r>
      <w:r>
        <w:t xml:space="preserve"> allan kostnað við gróffræsun klæðingar á svæðum þar sem leggja á nýtt slitlag eftir fræsun. Sé hæðarmunur fræsts og ófræsts yfirborðs svo mikill að umferð geti stafað hætta af, skal verktaki sjá um og kosta allar merkingar og löggæslu sem eftirlitið og viðkomandi lög</w:t>
      </w:r>
      <w:r w:rsidR="00D32F57">
        <w:t>regluyfirvöld telja nauðsynlega</w:t>
      </w:r>
      <w:r w:rsidRPr="005231A3">
        <w:t xml:space="preserve"> </w:t>
      </w:r>
      <w:r w:rsidR="00D32F57" w:rsidRPr="002F52F5">
        <w:rPr>
          <w:i/>
          <w:color w:val="4F81BD" w:themeColor="accent1"/>
        </w:rPr>
        <w:t>[</w:t>
      </w:r>
      <w:r w:rsidR="00D32F57">
        <w:rPr>
          <w:i/>
          <w:color w:val="4F81BD" w:themeColor="accent1"/>
        </w:rPr>
        <w:t>nánar l</w:t>
      </w:r>
      <w:r w:rsidR="00D32F57" w:rsidRPr="002F52F5">
        <w:rPr>
          <w:i/>
          <w:color w:val="4F81BD" w:themeColor="accent1"/>
        </w:rPr>
        <w:t>ýsing]</w:t>
      </w:r>
    </w:p>
    <w:p w14:paraId="16A4923B" w14:textId="77777777" w:rsidR="00BB3008" w:rsidRPr="00D346B6" w:rsidRDefault="00BB3008" w:rsidP="00D32F57">
      <w:pPr>
        <w:pStyle w:val="NoSpacing"/>
        <w:rPr>
          <w:color w:val="FF0000"/>
        </w:rPr>
      </w:pPr>
      <w:r w:rsidRPr="002F52F5">
        <w:t>c)</w:t>
      </w:r>
      <w:r w:rsidRPr="002F52F5">
        <w:tab/>
      </w:r>
      <w:r w:rsidRPr="00D346B6">
        <w:t xml:space="preserve">Dýpt fræsingar skal vera </w:t>
      </w:r>
      <w:r w:rsidRPr="00D346B6">
        <w:rPr>
          <w:i/>
          <w:color w:val="4F81BD" w:themeColor="accent1"/>
        </w:rPr>
        <w:t>[gildi]</w:t>
      </w:r>
    </w:p>
    <w:p w14:paraId="16A4923C" w14:textId="77777777" w:rsidR="00BB3008" w:rsidRDefault="00BB3008" w:rsidP="00D32F57">
      <w:pPr>
        <w:pStyle w:val="NoSpacing"/>
        <w:rPr>
          <w:color w:val="FF0000"/>
        </w:rPr>
      </w:pPr>
      <w:r w:rsidRPr="00E55270">
        <w:t xml:space="preserve">Þverhalli skal vera </w:t>
      </w:r>
      <w:r w:rsidRPr="00E52648">
        <w:rPr>
          <w:i/>
          <w:color w:val="4F81BD" w:themeColor="accent1"/>
        </w:rPr>
        <w:t>[gildi]</w:t>
      </w:r>
    </w:p>
    <w:p w14:paraId="16A4923D" w14:textId="77777777" w:rsidR="00BB3008" w:rsidRDefault="00BB3008" w:rsidP="00D32F57">
      <w:pPr>
        <w:pStyle w:val="NoSpacing"/>
        <w:rPr>
          <w:u w:val="single"/>
        </w:rPr>
      </w:pPr>
      <w:r w:rsidRPr="00E55270">
        <w:t xml:space="preserve">Breidd fræsingar skal vera </w:t>
      </w:r>
      <w:r w:rsidRPr="00E55270">
        <w:rPr>
          <w:i/>
        </w:rPr>
        <w:t xml:space="preserve"> </w:t>
      </w:r>
      <w:r w:rsidRPr="00E52648">
        <w:rPr>
          <w:i/>
          <w:color w:val="4F81BD" w:themeColor="accent1"/>
        </w:rPr>
        <w:t>[gildi]</w:t>
      </w:r>
      <w:r w:rsidRPr="00E52648">
        <w:rPr>
          <w:u w:val="single"/>
        </w:rPr>
        <w:t xml:space="preserve"> </w:t>
      </w:r>
    </w:p>
    <w:p w14:paraId="16A4923E" w14:textId="77777777" w:rsidR="00BB3008" w:rsidRPr="002F52F5" w:rsidRDefault="00BB3008" w:rsidP="00D32F57">
      <w:pPr>
        <w:pStyle w:val="NoSpacing"/>
        <w:rPr>
          <w:i/>
          <w:color w:val="4F81BD" w:themeColor="accent1"/>
        </w:rPr>
      </w:pPr>
      <w:r w:rsidRPr="002F52F5">
        <w:rPr>
          <w:i/>
          <w:color w:val="4F81BD" w:themeColor="accent1"/>
        </w:rPr>
        <w:t>[</w:t>
      </w:r>
      <w:r>
        <w:rPr>
          <w:i/>
          <w:color w:val="4F81BD" w:themeColor="accent1"/>
        </w:rPr>
        <w:t>nánar l</w:t>
      </w:r>
      <w:r w:rsidRPr="002F52F5">
        <w:rPr>
          <w:i/>
          <w:color w:val="4F81BD" w:themeColor="accent1"/>
        </w:rPr>
        <w:t xml:space="preserve">ýsing]  </w:t>
      </w:r>
    </w:p>
    <w:p w14:paraId="16A4923F" w14:textId="77777777" w:rsidR="00BB3008" w:rsidRPr="00D346B6" w:rsidRDefault="00BB3008" w:rsidP="00D32F57">
      <w:pPr>
        <w:pStyle w:val="NoSpacing"/>
      </w:pPr>
      <w:r w:rsidRPr="00D346B6">
        <w:t>f)</w:t>
      </w:r>
      <w:r w:rsidRPr="00D346B6">
        <w:tab/>
        <w:t xml:space="preserve"> Uppgjör miðast við flöt slitlags sem fræstur er.</w:t>
      </w:r>
    </w:p>
    <w:p w14:paraId="16A49240" w14:textId="77777777" w:rsidR="00BB3008" w:rsidRPr="00D346B6" w:rsidRDefault="00BB3008" w:rsidP="00D32F57">
      <w:pPr>
        <w:pStyle w:val="NoSpacing"/>
      </w:pPr>
      <w:r w:rsidRPr="00D346B6">
        <w:t xml:space="preserve"> Mælieining: m2.</w:t>
      </w:r>
    </w:p>
    <w:p w14:paraId="16A49241" w14:textId="77777777" w:rsidR="00D32F57" w:rsidRPr="00D32F57" w:rsidRDefault="00D32F57" w:rsidP="00D32F57">
      <w:pPr>
        <w:pStyle w:val="Kaflafyrirsagnir"/>
        <w:rPr>
          <w:rFonts w:eastAsiaTheme="minorEastAsia"/>
          <w:lang w:val="en-US"/>
        </w:rPr>
      </w:pPr>
      <w:bookmarkStart w:id="7" w:name="_Toc492602887"/>
      <w:r w:rsidRPr="00D32F57">
        <w:rPr>
          <w:rFonts w:eastAsiaTheme="minorEastAsia"/>
          <w:lang w:val="en-US"/>
        </w:rPr>
        <w:t>66.1</w:t>
      </w:r>
      <w:r>
        <w:rPr>
          <w:rFonts w:eastAsiaTheme="minorEastAsia"/>
          <w:lang w:val="en-US"/>
        </w:rPr>
        <w:t>1</w:t>
      </w:r>
      <w:r w:rsidRPr="00D32F57">
        <w:rPr>
          <w:rFonts w:eastAsiaTheme="minorEastAsia"/>
          <w:lang w:val="en-US"/>
        </w:rPr>
        <w:t xml:space="preserve"> Gróffræsun</w:t>
      </w:r>
      <w:r>
        <w:rPr>
          <w:rFonts w:eastAsiaTheme="minorEastAsia"/>
          <w:lang w:val="en-US"/>
        </w:rPr>
        <w:t xml:space="preserve"> klæðingar</w:t>
      </w:r>
      <w:bookmarkEnd w:id="7"/>
    </w:p>
    <w:p w14:paraId="16A49242" w14:textId="77777777" w:rsidR="00D32F57" w:rsidRPr="00D32F57" w:rsidRDefault="00D32F57" w:rsidP="00D32F57">
      <w:pPr>
        <w:pStyle w:val="NoSpacing"/>
        <w:rPr>
          <w:noProof/>
          <w:lang w:val="en-US"/>
        </w:rPr>
      </w:pPr>
      <w:r w:rsidRPr="00D32F57">
        <w:rPr>
          <w:noProof/>
          <w:lang w:val="en-US"/>
        </w:rPr>
        <w:t xml:space="preserve">a) </w:t>
      </w:r>
      <w:r w:rsidR="006507BB">
        <w:rPr>
          <w:noProof/>
          <w:lang w:val="en-US"/>
        </w:rPr>
        <w:t>Um er að ræða</w:t>
      </w:r>
      <w:r w:rsidRPr="00D32F57">
        <w:rPr>
          <w:noProof/>
          <w:lang w:val="en-US"/>
        </w:rPr>
        <w:t xml:space="preserve"> allan kostnað við gróffræsun</w:t>
      </w:r>
      <w:r>
        <w:rPr>
          <w:noProof/>
          <w:lang w:val="en-US"/>
        </w:rPr>
        <w:t xml:space="preserve"> </w:t>
      </w:r>
      <w:r w:rsidRPr="00D32F57">
        <w:rPr>
          <w:noProof/>
          <w:lang w:val="en-US"/>
        </w:rPr>
        <w:t>slitlags á svæðum þar sem leg</w:t>
      </w:r>
      <w:r>
        <w:rPr>
          <w:noProof/>
          <w:lang w:val="en-US"/>
        </w:rPr>
        <w:t xml:space="preserve">gja á nýtt slitlag eftir fræsun. </w:t>
      </w:r>
      <w:r w:rsidRPr="00D32F57">
        <w:rPr>
          <w:noProof/>
          <w:lang w:val="en-US"/>
        </w:rPr>
        <w:t>Sé hæðarmunur fræsts og ófræsts yfirborðs svo mikill að</w:t>
      </w:r>
      <w:r>
        <w:rPr>
          <w:noProof/>
          <w:lang w:val="en-US"/>
        </w:rPr>
        <w:t xml:space="preserve"> </w:t>
      </w:r>
      <w:r w:rsidRPr="00D32F57">
        <w:rPr>
          <w:noProof/>
          <w:lang w:val="en-US"/>
        </w:rPr>
        <w:t>umferð geti stafað hætta af, skal verktaki sjá um og kosta</w:t>
      </w:r>
      <w:r>
        <w:rPr>
          <w:noProof/>
          <w:lang w:val="en-US"/>
        </w:rPr>
        <w:t xml:space="preserve"> </w:t>
      </w:r>
      <w:r w:rsidRPr="00D32F57">
        <w:rPr>
          <w:noProof/>
          <w:lang w:val="en-US"/>
        </w:rPr>
        <w:t>allar merkingar og löggæslu sem eftirlitið og viðkomandi</w:t>
      </w:r>
      <w:r>
        <w:rPr>
          <w:noProof/>
          <w:lang w:val="en-US"/>
        </w:rPr>
        <w:t xml:space="preserve"> </w:t>
      </w:r>
      <w:r w:rsidRPr="00D32F57">
        <w:rPr>
          <w:noProof/>
          <w:lang w:val="en-US"/>
        </w:rPr>
        <w:t>lögregluyfirvöld telja nauðsynlega</w:t>
      </w:r>
      <w:r>
        <w:rPr>
          <w:noProof/>
          <w:lang w:val="en-US"/>
        </w:rPr>
        <w:t xml:space="preserve"> </w:t>
      </w:r>
      <w:r w:rsidRPr="002F52F5">
        <w:rPr>
          <w:i/>
          <w:color w:val="4F81BD" w:themeColor="accent1"/>
        </w:rPr>
        <w:t>[</w:t>
      </w:r>
      <w:r>
        <w:rPr>
          <w:i/>
          <w:color w:val="4F81BD" w:themeColor="accent1"/>
        </w:rPr>
        <w:t>nánar l</w:t>
      </w:r>
      <w:r w:rsidRPr="002F52F5">
        <w:rPr>
          <w:i/>
          <w:color w:val="4F81BD" w:themeColor="accent1"/>
        </w:rPr>
        <w:t>ýsing]</w:t>
      </w:r>
    </w:p>
    <w:p w14:paraId="16A49243" w14:textId="77777777" w:rsidR="00D32F57" w:rsidRPr="00D346B6" w:rsidRDefault="00D32F57" w:rsidP="00D32F57">
      <w:pPr>
        <w:pStyle w:val="NoSpacing"/>
        <w:rPr>
          <w:color w:val="FF0000"/>
        </w:rPr>
      </w:pPr>
      <w:r w:rsidRPr="002F52F5">
        <w:t>c)</w:t>
      </w:r>
      <w:r w:rsidRPr="002F52F5">
        <w:tab/>
      </w:r>
      <w:r w:rsidRPr="00D346B6">
        <w:t xml:space="preserve">Dýpt fræsingar skal vera </w:t>
      </w:r>
      <w:r w:rsidRPr="00D346B6">
        <w:rPr>
          <w:i/>
          <w:color w:val="4F81BD" w:themeColor="accent1"/>
        </w:rPr>
        <w:t>[gildi]</w:t>
      </w:r>
    </w:p>
    <w:p w14:paraId="16A49244" w14:textId="77777777" w:rsidR="00D32F57" w:rsidRDefault="00D32F57" w:rsidP="00D32F57">
      <w:pPr>
        <w:pStyle w:val="NoSpacing"/>
        <w:rPr>
          <w:color w:val="FF0000"/>
        </w:rPr>
      </w:pPr>
      <w:r w:rsidRPr="00E55270">
        <w:t xml:space="preserve">Þverhalli skal vera </w:t>
      </w:r>
      <w:r w:rsidRPr="00E52648">
        <w:rPr>
          <w:i/>
          <w:color w:val="4F81BD" w:themeColor="accent1"/>
        </w:rPr>
        <w:t>[gildi]</w:t>
      </w:r>
    </w:p>
    <w:p w14:paraId="16A49245" w14:textId="77777777" w:rsidR="00D32F57" w:rsidRDefault="00D32F57" w:rsidP="00D32F57">
      <w:pPr>
        <w:pStyle w:val="NoSpacing"/>
        <w:rPr>
          <w:u w:val="single"/>
        </w:rPr>
      </w:pPr>
      <w:r w:rsidRPr="00E55270">
        <w:t xml:space="preserve">Breidd fræsingar skal vera </w:t>
      </w:r>
      <w:r w:rsidRPr="00E55270">
        <w:rPr>
          <w:i/>
        </w:rPr>
        <w:t xml:space="preserve"> </w:t>
      </w:r>
      <w:r w:rsidRPr="00E52648">
        <w:rPr>
          <w:i/>
          <w:color w:val="4F81BD" w:themeColor="accent1"/>
        </w:rPr>
        <w:t>[gildi]</w:t>
      </w:r>
      <w:r w:rsidRPr="00E52648">
        <w:rPr>
          <w:u w:val="single"/>
        </w:rPr>
        <w:t xml:space="preserve"> </w:t>
      </w:r>
    </w:p>
    <w:p w14:paraId="16A49246" w14:textId="77777777" w:rsidR="00D32F57" w:rsidRPr="002F52F5" w:rsidRDefault="00D32F57" w:rsidP="00D32F57">
      <w:pPr>
        <w:pStyle w:val="NoSpacing"/>
        <w:rPr>
          <w:i/>
          <w:color w:val="4F81BD" w:themeColor="accent1"/>
        </w:rPr>
      </w:pPr>
      <w:r w:rsidRPr="002F52F5">
        <w:rPr>
          <w:i/>
          <w:color w:val="4F81BD" w:themeColor="accent1"/>
        </w:rPr>
        <w:t>[</w:t>
      </w:r>
      <w:r>
        <w:rPr>
          <w:i/>
          <w:color w:val="4F81BD" w:themeColor="accent1"/>
        </w:rPr>
        <w:t>nánar l</w:t>
      </w:r>
      <w:r w:rsidRPr="002F52F5">
        <w:rPr>
          <w:i/>
          <w:color w:val="4F81BD" w:themeColor="accent1"/>
        </w:rPr>
        <w:t xml:space="preserve">ýsing]  </w:t>
      </w:r>
    </w:p>
    <w:p w14:paraId="16A49247" w14:textId="77777777" w:rsidR="00D32F57" w:rsidRPr="00D32F57" w:rsidRDefault="00D32F57" w:rsidP="00D32F57">
      <w:pPr>
        <w:pStyle w:val="NoSpacing"/>
        <w:rPr>
          <w:noProof/>
          <w:lang w:val="en-US"/>
        </w:rPr>
      </w:pPr>
      <w:r w:rsidRPr="00D32F57">
        <w:rPr>
          <w:noProof/>
          <w:lang w:val="en-US"/>
        </w:rPr>
        <w:t xml:space="preserve">f) Uppgjör miðast við flöt </w:t>
      </w:r>
      <w:r>
        <w:rPr>
          <w:noProof/>
          <w:lang w:val="en-US"/>
        </w:rPr>
        <w:t>klæðingar</w:t>
      </w:r>
      <w:r w:rsidRPr="00D32F57">
        <w:rPr>
          <w:noProof/>
          <w:lang w:val="en-US"/>
        </w:rPr>
        <w:t xml:space="preserve"> sem fræstur er</w:t>
      </w:r>
      <w:r>
        <w:rPr>
          <w:noProof/>
          <w:lang w:val="en-US"/>
        </w:rPr>
        <w:t>.</w:t>
      </w:r>
    </w:p>
    <w:p w14:paraId="16A49248" w14:textId="77777777" w:rsidR="00D32F57" w:rsidRDefault="00D32F57" w:rsidP="00D32F57">
      <w:pPr>
        <w:pStyle w:val="NoSpacing"/>
        <w:rPr>
          <w:noProof/>
          <w:lang w:val="en-US"/>
        </w:rPr>
      </w:pPr>
      <w:r w:rsidRPr="00D32F57">
        <w:rPr>
          <w:noProof/>
          <w:lang w:val="en-US"/>
        </w:rPr>
        <w:t>Mælieining: m2</w:t>
      </w:r>
    </w:p>
    <w:p w14:paraId="16A49249" w14:textId="77777777" w:rsidR="00BB3008" w:rsidRPr="005231A3" w:rsidRDefault="00BB3008" w:rsidP="00D32F57">
      <w:pPr>
        <w:pStyle w:val="Kaflafyrirsagnir"/>
        <w:rPr>
          <w:rFonts w:eastAsiaTheme="minorEastAsia"/>
          <w:lang w:val="en-US"/>
        </w:rPr>
      </w:pPr>
      <w:bookmarkStart w:id="8" w:name="_Toc492602888"/>
      <w:r w:rsidRPr="005231A3">
        <w:rPr>
          <w:rFonts w:eastAsiaTheme="minorEastAsia"/>
          <w:lang w:val="en-US"/>
        </w:rPr>
        <w:lastRenderedPageBreak/>
        <w:t>66.</w:t>
      </w:r>
      <w:r w:rsidR="00D32F57">
        <w:rPr>
          <w:rFonts w:eastAsiaTheme="minorEastAsia"/>
          <w:lang w:val="en-US"/>
        </w:rPr>
        <w:t>2</w:t>
      </w:r>
      <w:r w:rsidRPr="005231A3">
        <w:rPr>
          <w:rFonts w:eastAsiaTheme="minorEastAsia"/>
          <w:lang w:val="en-US"/>
        </w:rPr>
        <w:t xml:space="preserve"> </w:t>
      </w:r>
      <w:r>
        <w:rPr>
          <w:rFonts w:eastAsiaTheme="minorEastAsia"/>
          <w:lang w:val="en-US"/>
        </w:rPr>
        <w:t>Fínfræsun</w:t>
      </w:r>
      <w:bookmarkEnd w:id="8"/>
    </w:p>
    <w:p w14:paraId="16A4924A" w14:textId="77777777" w:rsidR="00BB3008" w:rsidRPr="005231A3" w:rsidRDefault="00BB3008" w:rsidP="00D32F57">
      <w:pPr>
        <w:pStyle w:val="NoSpacing"/>
        <w:rPr>
          <w:i/>
          <w:color w:val="4F81BD" w:themeColor="accent1"/>
        </w:rPr>
      </w:pPr>
      <w:r w:rsidRPr="002F52F5">
        <w:t>a)</w:t>
      </w:r>
      <w:r w:rsidRPr="002F52F5">
        <w:tab/>
      </w:r>
      <w:r w:rsidR="006507BB">
        <w:t>Um er að ræða</w:t>
      </w:r>
      <w:r>
        <w:t xml:space="preserve"> allan kostnað við fínfræsun klæðingar á svæðum þar sem leggja á nýtt slitlag eftir fræsun. Sé hæðarmunur fræsts og ófræsts yfirborðs svo mikill að umferð geti stafað hætta af, skal verktaki sjá um og kosta allar merkingar og löggæslu sem eftirlitið og viðkomandi lögregluyfirvöld telja nauðsynlega. </w:t>
      </w:r>
      <w:r w:rsidRPr="005231A3">
        <w:t xml:space="preserve"> </w:t>
      </w:r>
      <w:r w:rsidR="00D32F57" w:rsidRPr="002F52F5">
        <w:rPr>
          <w:i/>
          <w:color w:val="4F81BD" w:themeColor="accent1"/>
        </w:rPr>
        <w:t>[</w:t>
      </w:r>
      <w:r w:rsidR="00D32F57">
        <w:rPr>
          <w:i/>
          <w:color w:val="4F81BD" w:themeColor="accent1"/>
        </w:rPr>
        <w:t>nánar l</w:t>
      </w:r>
      <w:r w:rsidR="00D32F57" w:rsidRPr="002F52F5">
        <w:rPr>
          <w:i/>
          <w:color w:val="4F81BD" w:themeColor="accent1"/>
        </w:rPr>
        <w:t>ýsing]</w:t>
      </w:r>
    </w:p>
    <w:p w14:paraId="16A4924B" w14:textId="77777777" w:rsidR="00BB3008" w:rsidRPr="00D346B6" w:rsidRDefault="00BB3008" w:rsidP="00D32F57">
      <w:pPr>
        <w:pStyle w:val="NoSpacing"/>
        <w:rPr>
          <w:color w:val="FF0000"/>
        </w:rPr>
      </w:pPr>
      <w:r w:rsidRPr="002F52F5">
        <w:t>c)</w:t>
      </w:r>
      <w:r w:rsidRPr="002F52F5">
        <w:tab/>
      </w:r>
      <w:r w:rsidRPr="00D346B6">
        <w:t xml:space="preserve">Dýpt fræsingar skal vera </w:t>
      </w:r>
      <w:r w:rsidRPr="00D346B6">
        <w:rPr>
          <w:i/>
          <w:color w:val="4F81BD" w:themeColor="accent1"/>
        </w:rPr>
        <w:t>[gildi]</w:t>
      </w:r>
    </w:p>
    <w:p w14:paraId="16A4924C" w14:textId="77777777" w:rsidR="00BB3008" w:rsidRDefault="00BB3008" w:rsidP="00D32F57">
      <w:pPr>
        <w:pStyle w:val="NoSpacing"/>
        <w:rPr>
          <w:color w:val="FF0000"/>
        </w:rPr>
      </w:pPr>
      <w:r w:rsidRPr="00E55270">
        <w:t xml:space="preserve">Þverhalli skal vera </w:t>
      </w:r>
      <w:r w:rsidRPr="00E52648">
        <w:rPr>
          <w:i/>
          <w:color w:val="4F81BD" w:themeColor="accent1"/>
        </w:rPr>
        <w:t>[gildi]</w:t>
      </w:r>
    </w:p>
    <w:p w14:paraId="16A4924D" w14:textId="77777777" w:rsidR="00BB3008" w:rsidRDefault="00BB3008" w:rsidP="00D32F57">
      <w:pPr>
        <w:pStyle w:val="NoSpacing"/>
        <w:rPr>
          <w:u w:val="single"/>
        </w:rPr>
      </w:pPr>
      <w:r w:rsidRPr="00E55270">
        <w:t xml:space="preserve">Breidd fræsingar skal vera </w:t>
      </w:r>
      <w:r w:rsidRPr="00E55270">
        <w:rPr>
          <w:i/>
        </w:rPr>
        <w:t xml:space="preserve"> </w:t>
      </w:r>
      <w:r w:rsidRPr="00E52648">
        <w:rPr>
          <w:i/>
          <w:color w:val="4F81BD" w:themeColor="accent1"/>
        </w:rPr>
        <w:t>[gildi]</w:t>
      </w:r>
      <w:r w:rsidRPr="00E52648">
        <w:rPr>
          <w:u w:val="single"/>
        </w:rPr>
        <w:t xml:space="preserve"> </w:t>
      </w:r>
    </w:p>
    <w:p w14:paraId="16A4924E" w14:textId="77777777" w:rsidR="00BB3008" w:rsidRPr="002F52F5" w:rsidRDefault="00BB3008" w:rsidP="00D32F57">
      <w:pPr>
        <w:pStyle w:val="NoSpacing"/>
        <w:rPr>
          <w:i/>
          <w:color w:val="4F81BD" w:themeColor="accent1"/>
        </w:rPr>
      </w:pPr>
      <w:r w:rsidRPr="002F52F5">
        <w:rPr>
          <w:i/>
          <w:color w:val="4F81BD" w:themeColor="accent1"/>
        </w:rPr>
        <w:t>[</w:t>
      </w:r>
      <w:r>
        <w:rPr>
          <w:i/>
          <w:color w:val="4F81BD" w:themeColor="accent1"/>
        </w:rPr>
        <w:t>nánar l</w:t>
      </w:r>
      <w:r w:rsidRPr="002F52F5">
        <w:rPr>
          <w:i/>
          <w:color w:val="4F81BD" w:themeColor="accent1"/>
        </w:rPr>
        <w:t xml:space="preserve">ýsing]  </w:t>
      </w:r>
    </w:p>
    <w:p w14:paraId="16A4924F" w14:textId="77777777" w:rsidR="00BB3008" w:rsidRPr="00D346B6" w:rsidRDefault="00BB3008" w:rsidP="00D32F57">
      <w:pPr>
        <w:pStyle w:val="NoSpacing"/>
      </w:pPr>
      <w:r w:rsidRPr="00D346B6">
        <w:t>f)</w:t>
      </w:r>
      <w:r w:rsidRPr="00D346B6">
        <w:tab/>
        <w:t xml:space="preserve"> Uppgjör miðast við flöt slitlags sem fræstur er.</w:t>
      </w:r>
    </w:p>
    <w:p w14:paraId="16A49250" w14:textId="77777777" w:rsidR="00BB3008" w:rsidRPr="00D346B6" w:rsidRDefault="00BB3008" w:rsidP="00D32F57">
      <w:pPr>
        <w:pStyle w:val="NoSpacing"/>
      </w:pPr>
      <w:r w:rsidRPr="00D346B6">
        <w:t xml:space="preserve"> Mælieining: m2.</w:t>
      </w:r>
    </w:p>
    <w:p w14:paraId="16A49251" w14:textId="77777777" w:rsidR="00BB3008" w:rsidRPr="002F52F5" w:rsidRDefault="00BB3008" w:rsidP="00D32F57">
      <w:pPr>
        <w:pStyle w:val="NoSpacing"/>
      </w:pPr>
    </w:p>
    <w:sectPr w:rsidR="00BB3008" w:rsidRPr="002F52F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A2A6" w14:textId="77777777" w:rsidR="00A97DD6" w:rsidRDefault="00A97DD6" w:rsidP="00233084">
      <w:pPr>
        <w:spacing w:before="0" w:after="0"/>
      </w:pPr>
      <w:r>
        <w:separator/>
      </w:r>
    </w:p>
  </w:endnote>
  <w:endnote w:type="continuationSeparator" w:id="0">
    <w:p w14:paraId="2C9715BC" w14:textId="77777777" w:rsidR="00A97DD6" w:rsidRDefault="00A97DD6" w:rsidP="002330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258" w14:textId="77777777" w:rsidR="006507BB" w:rsidRDefault="00650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16235"/>
      <w:docPartObj>
        <w:docPartGallery w:val="Page Numbers (Bottom of Page)"/>
        <w:docPartUnique/>
      </w:docPartObj>
    </w:sdtPr>
    <w:sdtEndPr>
      <w:rPr>
        <w:noProof/>
      </w:rPr>
    </w:sdtEndPr>
    <w:sdtContent>
      <w:p w14:paraId="16A49259" w14:textId="77777777" w:rsidR="00233084" w:rsidRDefault="00233084">
        <w:pPr>
          <w:pStyle w:val="Footer"/>
          <w:jc w:val="center"/>
        </w:pPr>
        <w:r>
          <w:fldChar w:fldCharType="begin"/>
        </w:r>
        <w:r>
          <w:instrText xml:space="preserve"> PAGE   \* MERGEFORMAT </w:instrText>
        </w:r>
        <w:r>
          <w:fldChar w:fldCharType="separate"/>
        </w:r>
        <w:r w:rsidR="006507BB">
          <w:rPr>
            <w:noProof/>
          </w:rPr>
          <w:t>1</w:t>
        </w:r>
        <w:r>
          <w:rPr>
            <w:noProof/>
          </w:rPr>
          <w:fldChar w:fldCharType="end"/>
        </w:r>
      </w:p>
    </w:sdtContent>
  </w:sdt>
  <w:p w14:paraId="16A4925A" w14:textId="77777777" w:rsidR="00233084" w:rsidRDefault="00233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25C" w14:textId="77777777" w:rsidR="006507BB" w:rsidRDefault="0065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394D" w14:textId="77777777" w:rsidR="00A97DD6" w:rsidRDefault="00A97DD6" w:rsidP="00233084">
      <w:pPr>
        <w:spacing w:before="0" w:after="0"/>
      </w:pPr>
      <w:r>
        <w:separator/>
      </w:r>
    </w:p>
  </w:footnote>
  <w:footnote w:type="continuationSeparator" w:id="0">
    <w:p w14:paraId="614219D1" w14:textId="77777777" w:rsidR="00A97DD6" w:rsidRDefault="00A97DD6" w:rsidP="002330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256" w14:textId="77777777" w:rsidR="006507BB" w:rsidRDefault="0065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257" w14:textId="77777777" w:rsidR="00233084" w:rsidRDefault="00233084">
    <w:pPr>
      <w:pStyle w:val="Header"/>
    </w:pPr>
    <w:r>
      <w:t>Vegagerðin</w:t>
    </w:r>
    <w:r>
      <w:ptab w:relativeTo="margin" w:alignment="center" w:leader="none"/>
    </w:r>
    <w:r>
      <w:t>Verklýsing - sniðmát</w:t>
    </w:r>
    <w:r>
      <w:ptab w:relativeTo="margin" w:alignment="right" w:leader="none"/>
    </w:r>
    <w:r w:rsidR="006507BB">
      <w:t>2</w:t>
    </w:r>
    <w:r w:rsidR="006B6D24">
      <w:t>8.09.2017</w:t>
    </w:r>
  </w:p>
  <w:p w14:paraId="75CE6D1B" w14:textId="5D2BFE56" w:rsidR="001D35CA" w:rsidRDefault="001D35CA" w:rsidP="001D35CA">
    <w:pPr>
      <w:pStyle w:val="Header"/>
      <w:jc w:val="center"/>
    </w:pPr>
    <w:r>
      <w:t>SNI-3401</w:t>
    </w:r>
    <w:r>
      <w:t>, 66</w:t>
    </w:r>
  </w:p>
  <w:p w14:paraId="3B3C60FB" w14:textId="77777777" w:rsidR="001D35CA" w:rsidRDefault="001D3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925B" w14:textId="77777777" w:rsidR="006507BB" w:rsidRDefault="00650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6631"/>
    <w:multiLevelType w:val="hybridMultilevel"/>
    <w:tmpl w:val="E51CEEAE"/>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666A2E09"/>
    <w:multiLevelType w:val="hybridMultilevel"/>
    <w:tmpl w:val="617C64C8"/>
    <w:lvl w:ilvl="0" w:tplc="DAB28876">
      <w:start w:val="1"/>
      <w:numFmt w:val="lowerLetter"/>
      <w:lvlText w:val="%1)"/>
      <w:lvlJc w:val="left"/>
      <w:pPr>
        <w:ind w:left="502" w:hanging="360"/>
      </w:pPr>
      <w:rPr>
        <w:rFonts w:hint="default"/>
        <w:b/>
      </w:rPr>
    </w:lvl>
    <w:lvl w:ilvl="1" w:tplc="040F0019" w:tentative="1">
      <w:start w:val="1"/>
      <w:numFmt w:val="lowerLetter"/>
      <w:lvlText w:val="%2."/>
      <w:lvlJc w:val="left"/>
      <w:pPr>
        <w:ind w:left="1222" w:hanging="360"/>
      </w:pPr>
    </w:lvl>
    <w:lvl w:ilvl="2" w:tplc="040F001B" w:tentative="1">
      <w:start w:val="1"/>
      <w:numFmt w:val="lowerRoman"/>
      <w:lvlText w:val="%3."/>
      <w:lvlJc w:val="right"/>
      <w:pPr>
        <w:ind w:left="1942" w:hanging="180"/>
      </w:pPr>
    </w:lvl>
    <w:lvl w:ilvl="3" w:tplc="040F000F" w:tentative="1">
      <w:start w:val="1"/>
      <w:numFmt w:val="decimal"/>
      <w:lvlText w:val="%4."/>
      <w:lvlJc w:val="left"/>
      <w:pPr>
        <w:ind w:left="2662" w:hanging="360"/>
      </w:pPr>
    </w:lvl>
    <w:lvl w:ilvl="4" w:tplc="040F0019" w:tentative="1">
      <w:start w:val="1"/>
      <w:numFmt w:val="lowerLetter"/>
      <w:lvlText w:val="%5."/>
      <w:lvlJc w:val="left"/>
      <w:pPr>
        <w:ind w:left="3382" w:hanging="360"/>
      </w:pPr>
    </w:lvl>
    <w:lvl w:ilvl="5" w:tplc="040F001B" w:tentative="1">
      <w:start w:val="1"/>
      <w:numFmt w:val="lowerRoman"/>
      <w:lvlText w:val="%6."/>
      <w:lvlJc w:val="right"/>
      <w:pPr>
        <w:ind w:left="4102" w:hanging="180"/>
      </w:pPr>
    </w:lvl>
    <w:lvl w:ilvl="6" w:tplc="040F000F" w:tentative="1">
      <w:start w:val="1"/>
      <w:numFmt w:val="decimal"/>
      <w:lvlText w:val="%7."/>
      <w:lvlJc w:val="left"/>
      <w:pPr>
        <w:ind w:left="4822" w:hanging="360"/>
      </w:pPr>
    </w:lvl>
    <w:lvl w:ilvl="7" w:tplc="040F0019" w:tentative="1">
      <w:start w:val="1"/>
      <w:numFmt w:val="lowerLetter"/>
      <w:lvlText w:val="%8."/>
      <w:lvlJc w:val="left"/>
      <w:pPr>
        <w:ind w:left="5542" w:hanging="360"/>
      </w:pPr>
    </w:lvl>
    <w:lvl w:ilvl="8" w:tplc="040F001B" w:tentative="1">
      <w:start w:val="1"/>
      <w:numFmt w:val="lowerRoman"/>
      <w:lvlText w:val="%9."/>
      <w:lvlJc w:val="right"/>
      <w:pPr>
        <w:ind w:left="6262" w:hanging="180"/>
      </w:pPr>
    </w:lvl>
  </w:abstractNum>
  <w:num w:numId="1" w16cid:durableId="1082222112">
    <w:abstractNumId w:val="0"/>
  </w:num>
  <w:num w:numId="2" w16cid:durableId="183765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88"/>
    <w:rsid w:val="00120696"/>
    <w:rsid w:val="001D35CA"/>
    <w:rsid w:val="00233084"/>
    <w:rsid w:val="002F52F5"/>
    <w:rsid w:val="00377218"/>
    <w:rsid w:val="005231A3"/>
    <w:rsid w:val="005D14EF"/>
    <w:rsid w:val="006507BB"/>
    <w:rsid w:val="00683DAE"/>
    <w:rsid w:val="006B6D24"/>
    <w:rsid w:val="00850D4A"/>
    <w:rsid w:val="00945523"/>
    <w:rsid w:val="00A60521"/>
    <w:rsid w:val="00A97DD6"/>
    <w:rsid w:val="00B65488"/>
    <w:rsid w:val="00BB3008"/>
    <w:rsid w:val="00CF0621"/>
    <w:rsid w:val="00D32F57"/>
    <w:rsid w:val="00E55270"/>
    <w:rsid w:val="00E66C5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9211"/>
  <w15:docId w15:val="{A0E9E352-2789-4A73-AF86-B9D83339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BB3008"/>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BB30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548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B300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654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B65488"/>
    <w:pPr>
      <w:tabs>
        <w:tab w:val="left" w:pos="1701"/>
      </w:tabs>
    </w:pPr>
    <w:rPr>
      <w:color w:val="000000"/>
      <w:sz w:val="20"/>
      <w:szCs w:val="20"/>
    </w:rPr>
  </w:style>
  <w:style w:type="character" w:customStyle="1" w:styleId="abcflokkarChar">
    <w:name w:val="abc flokkar Char"/>
    <w:link w:val="abcflokkar"/>
    <w:rsid w:val="00B65488"/>
    <w:rPr>
      <w:rFonts w:ascii="Times New Roman" w:eastAsia="Times New Roman" w:hAnsi="Times New Roman" w:cs="Times New Roman"/>
      <w:color w:val="000000"/>
      <w:sz w:val="20"/>
      <w:szCs w:val="20"/>
      <w:lang w:val="en-US"/>
    </w:rPr>
  </w:style>
  <w:style w:type="paragraph" w:customStyle="1" w:styleId="Kaflafyrirsagnir">
    <w:name w:val="Kaflafyrirsagnir"/>
    <w:basedOn w:val="Heading1"/>
    <w:next w:val="Normal"/>
    <w:link w:val="KaflafyrirsagnirChar"/>
    <w:qFormat/>
    <w:rsid w:val="00BB3008"/>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BB3008"/>
    <w:rPr>
      <w:rFonts w:ascii="Times" w:eastAsia="Times New Roman" w:hAnsi="Times" w:cs="Arial"/>
      <w:b/>
      <w:bCs/>
      <w:noProof/>
      <w:kern w:val="32"/>
      <w:sz w:val="24"/>
      <w:szCs w:val="32"/>
      <w:lang w:eastAsia="is-IS"/>
    </w:rPr>
  </w:style>
  <w:style w:type="paragraph" w:customStyle="1" w:styleId="Li-fyrirsagnir">
    <w:name w:val="Lið-fyrirsagnir"/>
    <w:basedOn w:val="Heading5"/>
    <w:next w:val="Normal"/>
    <w:link w:val="Li-fyrirsagnirChar"/>
    <w:qFormat/>
    <w:rsid w:val="00BB3008"/>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BB3008"/>
    <w:rPr>
      <w:rFonts w:ascii="Times New Roman" w:eastAsia="Times New Roman" w:hAnsi="Times New Roman" w:cs="Times New Roman"/>
      <w:b/>
      <w:bCs/>
      <w:iCs/>
      <w:sz w:val="24"/>
      <w:szCs w:val="26"/>
    </w:rPr>
  </w:style>
  <w:style w:type="character" w:customStyle="1" w:styleId="Heading3Char">
    <w:name w:val="Heading 3 Char"/>
    <w:basedOn w:val="DefaultParagraphFont"/>
    <w:link w:val="Heading3"/>
    <w:uiPriority w:val="9"/>
    <w:semiHidden/>
    <w:rsid w:val="00B65488"/>
    <w:rPr>
      <w:rFonts w:asciiTheme="majorHAnsi" w:eastAsiaTheme="majorEastAsia" w:hAnsiTheme="majorHAnsi" w:cstheme="majorBidi"/>
      <w:b/>
      <w:bCs/>
      <w:color w:val="4F81BD" w:themeColor="accent1"/>
      <w:sz w:val="24"/>
      <w:szCs w:val="24"/>
      <w:lang w:val="en-US"/>
    </w:rPr>
  </w:style>
  <w:style w:type="character" w:customStyle="1" w:styleId="Heading6Char">
    <w:name w:val="Heading 6 Char"/>
    <w:basedOn w:val="DefaultParagraphFont"/>
    <w:link w:val="Heading6"/>
    <w:uiPriority w:val="9"/>
    <w:semiHidden/>
    <w:rsid w:val="00B65488"/>
    <w:rPr>
      <w:rFonts w:asciiTheme="majorHAnsi" w:eastAsiaTheme="majorEastAsia" w:hAnsiTheme="majorHAnsi" w:cstheme="majorBidi"/>
      <w:i/>
      <w:iCs/>
      <w:color w:val="243F60" w:themeColor="accent1" w:themeShade="7F"/>
      <w:sz w:val="24"/>
      <w:szCs w:val="24"/>
      <w:lang w:val="en-US"/>
    </w:rPr>
  </w:style>
  <w:style w:type="character" w:customStyle="1" w:styleId="abcflokkarCharChar">
    <w:name w:val="abc flokkar Char Char"/>
    <w:basedOn w:val="DefaultParagraphFont"/>
    <w:rsid w:val="00850D4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B3008"/>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BB3008"/>
    <w:rPr>
      <w:rFonts w:asciiTheme="majorHAnsi" w:eastAsiaTheme="majorEastAsia" w:hAnsiTheme="majorHAnsi" w:cstheme="majorBidi"/>
      <w:color w:val="365F91" w:themeColor="accent1" w:themeShade="BF"/>
      <w:sz w:val="24"/>
      <w:szCs w:val="24"/>
    </w:rPr>
  </w:style>
  <w:style w:type="paragraph" w:styleId="NoSpacing">
    <w:name w:val="No Spacing"/>
    <w:aliases w:val="verkþáttur"/>
    <w:uiPriority w:val="1"/>
    <w:qFormat/>
    <w:rsid w:val="00BB3008"/>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D32F57"/>
    <w:pPr>
      <w:tabs>
        <w:tab w:val="clear" w:pos="1134"/>
      </w:tabs>
      <w:spacing w:after="0" w:line="259" w:lineRule="auto"/>
      <w:ind w:left="0"/>
      <w:outlineLvl w:val="9"/>
    </w:pPr>
    <w:rPr>
      <w:lang w:val="en-US"/>
    </w:rPr>
  </w:style>
  <w:style w:type="paragraph" w:styleId="TOC1">
    <w:name w:val="toc 1"/>
    <w:basedOn w:val="Normal"/>
    <w:next w:val="Normal"/>
    <w:autoRedefine/>
    <w:uiPriority w:val="39"/>
    <w:unhideWhenUsed/>
    <w:rsid w:val="00D32F57"/>
    <w:pPr>
      <w:tabs>
        <w:tab w:val="clear" w:pos="1134"/>
      </w:tabs>
      <w:spacing w:after="100"/>
      <w:ind w:left="0"/>
    </w:pPr>
  </w:style>
  <w:style w:type="character" w:styleId="Hyperlink">
    <w:name w:val="Hyperlink"/>
    <w:basedOn w:val="DefaultParagraphFont"/>
    <w:uiPriority w:val="99"/>
    <w:unhideWhenUsed/>
    <w:rsid w:val="00D32F57"/>
    <w:rPr>
      <w:color w:val="0000FF" w:themeColor="hyperlink"/>
      <w:u w:val="single"/>
    </w:rPr>
  </w:style>
  <w:style w:type="paragraph" w:styleId="Header">
    <w:name w:val="header"/>
    <w:basedOn w:val="Normal"/>
    <w:link w:val="HeaderChar"/>
    <w:uiPriority w:val="99"/>
    <w:unhideWhenUsed/>
    <w:rsid w:val="00233084"/>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233084"/>
    <w:rPr>
      <w:rFonts w:ascii="Times New Roman" w:hAnsi="Times New Roman"/>
      <w:sz w:val="24"/>
    </w:rPr>
  </w:style>
  <w:style w:type="paragraph" w:styleId="Footer">
    <w:name w:val="footer"/>
    <w:basedOn w:val="Normal"/>
    <w:link w:val="FooterChar"/>
    <w:uiPriority w:val="99"/>
    <w:unhideWhenUsed/>
    <w:rsid w:val="00233084"/>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2330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6EAC-4893-43F3-B504-DA6DD919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Gísli Gíslason</dc:creator>
  <cp:lastModifiedBy>Björgvin Brynjólfsson - VG</cp:lastModifiedBy>
  <cp:revision>10</cp:revision>
  <dcterms:created xsi:type="dcterms:W3CDTF">2016-07-07T14:23:00Z</dcterms:created>
  <dcterms:modified xsi:type="dcterms:W3CDTF">2023-05-02T15:24:00Z</dcterms:modified>
</cp:coreProperties>
</file>