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20476751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BF2591E" w14:textId="77777777" w:rsidR="00B26E0A" w:rsidRPr="00B26E0A" w:rsidRDefault="00B26E0A">
          <w:pPr>
            <w:pStyle w:val="TOCHeading"/>
            <w:rPr>
              <w:b/>
              <w:color w:val="auto"/>
            </w:rPr>
          </w:pPr>
          <w:r w:rsidRPr="00B26E0A">
            <w:rPr>
              <w:b/>
              <w:color w:val="auto"/>
            </w:rPr>
            <w:t>Efnisyfirlit</w:t>
          </w:r>
        </w:p>
        <w:p w14:paraId="2D737DD7" w14:textId="77777777" w:rsidR="0095425E" w:rsidRDefault="00B26E0A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12163" w:history="1">
            <w:r w:rsidR="0095425E" w:rsidRPr="00CF4065">
              <w:rPr>
                <w:rStyle w:val="Hyperlink"/>
                <w:noProof/>
              </w:rPr>
              <w:t>Efnisvinnsla - Almenn lýsing. Malarslitlag</w:t>
            </w:r>
            <w:r w:rsidR="0095425E">
              <w:rPr>
                <w:noProof/>
                <w:webHidden/>
              </w:rPr>
              <w:tab/>
            </w:r>
            <w:r w:rsidR="0095425E">
              <w:rPr>
                <w:noProof/>
                <w:webHidden/>
              </w:rPr>
              <w:fldChar w:fldCharType="begin"/>
            </w:r>
            <w:r w:rsidR="0095425E">
              <w:rPr>
                <w:noProof/>
                <w:webHidden/>
              </w:rPr>
              <w:instrText xml:space="preserve"> PAGEREF _Toc21612163 \h </w:instrText>
            </w:r>
            <w:r w:rsidR="0095425E">
              <w:rPr>
                <w:noProof/>
                <w:webHidden/>
              </w:rPr>
            </w:r>
            <w:r w:rsidR="0095425E">
              <w:rPr>
                <w:noProof/>
                <w:webHidden/>
              </w:rPr>
              <w:fldChar w:fldCharType="separate"/>
            </w:r>
            <w:r w:rsidR="0095425E">
              <w:rPr>
                <w:noProof/>
                <w:webHidden/>
              </w:rPr>
              <w:t>1</w:t>
            </w:r>
            <w:r w:rsidR="0095425E">
              <w:rPr>
                <w:noProof/>
                <w:webHidden/>
              </w:rPr>
              <w:fldChar w:fldCharType="end"/>
            </w:r>
          </w:hyperlink>
        </w:p>
        <w:p w14:paraId="42AF6B0F" w14:textId="77777777" w:rsidR="0095425E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1612164" w:history="1">
            <w:r w:rsidR="0095425E" w:rsidRPr="00CF4065">
              <w:rPr>
                <w:rStyle w:val="Hyperlink"/>
                <w:noProof/>
              </w:rPr>
              <w:t>61.1211 Mölun efnis í malarslitlag, 0/11 mm</w:t>
            </w:r>
            <w:r w:rsidR="0095425E">
              <w:rPr>
                <w:noProof/>
                <w:webHidden/>
              </w:rPr>
              <w:tab/>
            </w:r>
            <w:r w:rsidR="0095425E">
              <w:rPr>
                <w:noProof/>
                <w:webHidden/>
              </w:rPr>
              <w:fldChar w:fldCharType="begin"/>
            </w:r>
            <w:r w:rsidR="0095425E">
              <w:rPr>
                <w:noProof/>
                <w:webHidden/>
              </w:rPr>
              <w:instrText xml:space="preserve"> PAGEREF _Toc21612164 \h </w:instrText>
            </w:r>
            <w:r w:rsidR="0095425E">
              <w:rPr>
                <w:noProof/>
                <w:webHidden/>
              </w:rPr>
            </w:r>
            <w:r w:rsidR="0095425E">
              <w:rPr>
                <w:noProof/>
                <w:webHidden/>
              </w:rPr>
              <w:fldChar w:fldCharType="separate"/>
            </w:r>
            <w:r w:rsidR="0095425E">
              <w:rPr>
                <w:noProof/>
                <w:webHidden/>
              </w:rPr>
              <w:t>2</w:t>
            </w:r>
            <w:r w:rsidR="0095425E">
              <w:rPr>
                <w:noProof/>
                <w:webHidden/>
              </w:rPr>
              <w:fldChar w:fldCharType="end"/>
            </w:r>
          </w:hyperlink>
        </w:p>
        <w:p w14:paraId="5EAB0300" w14:textId="77777777" w:rsidR="0095425E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1612165" w:history="1">
            <w:r w:rsidR="0095425E" w:rsidRPr="00CF4065">
              <w:rPr>
                <w:rStyle w:val="Hyperlink"/>
                <w:noProof/>
              </w:rPr>
              <w:t>61.1212 Mölun efnis í malarslitlag, 0/16 mm</w:t>
            </w:r>
            <w:r w:rsidR="0095425E">
              <w:rPr>
                <w:noProof/>
                <w:webHidden/>
              </w:rPr>
              <w:tab/>
            </w:r>
            <w:r w:rsidR="0095425E">
              <w:rPr>
                <w:noProof/>
                <w:webHidden/>
              </w:rPr>
              <w:fldChar w:fldCharType="begin"/>
            </w:r>
            <w:r w:rsidR="0095425E">
              <w:rPr>
                <w:noProof/>
                <w:webHidden/>
              </w:rPr>
              <w:instrText xml:space="preserve"> PAGEREF _Toc21612165 \h </w:instrText>
            </w:r>
            <w:r w:rsidR="0095425E">
              <w:rPr>
                <w:noProof/>
                <w:webHidden/>
              </w:rPr>
            </w:r>
            <w:r w:rsidR="0095425E">
              <w:rPr>
                <w:noProof/>
                <w:webHidden/>
              </w:rPr>
              <w:fldChar w:fldCharType="separate"/>
            </w:r>
            <w:r w:rsidR="0095425E">
              <w:rPr>
                <w:noProof/>
                <w:webHidden/>
              </w:rPr>
              <w:t>3</w:t>
            </w:r>
            <w:r w:rsidR="0095425E">
              <w:rPr>
                <w:noProof/>
                <w:webHidden/>
              </w:rPr>
              <w:fldChar w:fldCharType="end"/>
            </w:r>
          </w:hyperlink>
        </w:p>
        <w:p w14:paraId="619F0E0F" w14:textId="77777777" w:rsidR="0095425E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1612166" w:history="1">
            <w:r w:rsidR="0095425E" w:rsidRPr="00CF4065">
              <w:rPr>
                <w:rStyle w:val="Hyperlink"/>
                <w:noProof/>
              </w:rPr>
              <w:t>61.1213 Hörpun efnis í malarslitlag, 0/11 mm eða 0/16 mm</w:t>
            </w:r>
            <w:r w:rsidR="0095425E">
              <w:rPr>
                <w:noProof/>
                <w:webHidden/>
              </w:rPr>
              <w:tab/>
            </w:r>
            <w:r w:rsidR="0095425E">
              <w:rPr>
                <w:noProof/>
                <w:webHidden/>
              </w:rPr>
              <w:fldChar w:fldCharType="begin"/>
            </w:r>
            <w:r w:rsidR="0095425E">
              <w:rPr>
                <w:noProof/>
                <w:webHidden/>
              </w:rPr>
              <w:instrText xml:space="preserve"> PAGEREF _Toc21612166 \h </w:instrText>
            </w:r>
            <w:r w:rsidR="0095425E">
              <w:rPr>
                <w:noProof/>
                <w:webHidden/>
              </w:rPr>
            </w:r>
            <w:r w:rsidR="0095425E">
              <w:rPr>
                <w:noProof/>
                <w:webHidden/>
              </w:rPr>
              <w:fldChar w:fldCharType="separate"/>
            </w:r>
            <w:r w:rsidR="0095425E">
              <w:rPr>
                <w:noProof/>
                <w:webHidden/>
              </w:rPr>
              <w:t>3</w:t>
            </w:r>
            <w:r w:rsidR="0095425E">
              <w:rPr>
                <w:noProof/>
                <w:webHidden/>
              </w:rPr>
              <w:fldChar w:fldCharType="end"/>
            </w:r>
          </w:hyperlink>
        </w:p>
        <w:p w14:paraId="2DEB4757" w14:textId="77777777" w:rsidR="0095425E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21612167" w:history="1">
            <w:r w:rsidR="0095425E" w:rsidRPr="00CF4065">
              <w:rPr>
                <w:rStyle w:val="Hyperlink"/>
                <w:noProof/>
              </w:rPr>
              <w:t>61.1217 Flutningur á efni til íblöndunar</w:t>
            </w:r>
            <w:r w:rsidR="0095425E">
              <w:rPr>
                <w:noProof/>
                <w:webHidden/>
              </w:rPr>
              <w:tab/>
            </w:r>
            <w:r w:rsidR="0095425E">
              <w:rPr>
                <w:noProof/>
                <w:webHidden/>
              </w:rPr>
              <w:fldChar w:fldCharType="begin"/>
            </w:r>
            <w:r w:rsidR="0095425E">
              <w:rPr>
                <w:noProof/>
                <w:webHidden/>
              </w:rPr>
              <w:instrText xml:space="preserve"> PAGEREF _Toc21612167 \h </w:instrText>
            </w:r>
            <w:r w:rsidR="0095425E">
              <w:rPr>
                <w:noProof/>
                <w:webHidden/>
              </w:rPr>
            </w:r>
            <w:r w:rsidR="0095425E">
              <w:rPr>
                <w:noProof/>
                <w:webHidden/>
              </w:rPr>
              <w:fldChar w:fldCharType="separate"/>
            </w:r>
            <w:r w:rsidR="0095425E">
              <w:rPr>
                <w:noProof/>
                <w:webHidden/>
              </w:rPr>
              <w:t>4</w:t>
            </w:r>
            <w:r w:rsidR="0095425E">
              <w:rPr>
                <w:noProof/>
                <w:webHidden/>
              </w:rPr>
              <w:fldChar w:fldCharType="end"/>
            </w:r>
          </w:hyperlink>
        </w:p>
        <w:p w14:paraId="1B9C2E21" w14:textId="77777777" w:rsidR="00B26E0A" w:rsidRDefault="00B26E0A">
          <w:r>
            <w:rPr>
              <w:b/>
              <w:bCs/>
              <w:noProof/>
            </w:rPr>
            <w:fldChar w:fldCharType="end"/>
          </w:r>
        </w:p>
      </w:sdtContent>
    </w:sdt>
    <w:p w14:paraId="6116A24D" w14:textId="12AB9718" w:rsidR="00BD0267" w:rsidRPr="00E016BC" w:rsidRDefault="00E11A5F" w:rsidP="00B26E0A">
      <w:pPr>
        <w:pStyle w:val="Kaflafyrirsagnir"/>
      </w:pPr>
      <w:bookmarkStart w:id="0" w:name="_Toc21612163"/>
      <w:r>
        <w:t xml:space="preserve">Efnisvinnsla - </w:t>
      </w:r>
      <w:r w:rsidR="00B26E0A">
        <w:t>Almenn lýsing</w:t>
      </w:r>
      <w:r>
        <w:t xml:space="preserve">. </w:t>
      </w:r>
      <w:r w:rsidR="00FE4938">
        <w:t>Malarslitl</w:t>
      </w:r>
      <w:r w:rsidR="00C863DF">
        <w:t>a</w:t>
      </w:r>
      <w:r>
        <w:t>g</w:t>
      </w:r>
      <w:bookmarkEnd w:id="0"/>
    </w:p>
    <w:p w14:paraId="3C5D42AF" w14:textId="4C548E73" w:rsidR="00E01608" w:rsidRDefault="00E01608" w:rsidP="00C860BD">
      <w:pPr>
        <w:pStyle w:val="Li-fyrirsagnir"/>
        <w:numPr>
          <w:ilvl w:val="0"/>
          <w:numId w:val="1"/>
        </w:numPr>
        <w:ind w:left="851" w:hanging="851"/>
      </w:pPr>
      <w:r w:rsidRPr="00E01608">
        <w:t>Verksvið</w:t>
      </w:r>
    </w:p>
    <w:p w14:paraId="0E66ABCE" w14:textId="1D2E976C" w:rsidR="0068755D" w:rsidRPr="006D07F4" w:rsidRDefault="0068755D" w:rsidP="006D07F4">
      <w:pPr>
        <w:jc w:val="both"/>
        <w:rPr>
          <w:rFonts w:ascii="TimesNewRomanPSMT" w:hAnsi="TimesNewRomanPSMT"/>
          <w:color w:val="000000"/>
          <w:szCs w:val="24"/>
        </w:rPr>
      </w:pPr>
      <w:r w:rsidRPr="00040939">
        <w:rPr>
          <w:rStyle w:val="fontstyle01"/>
          <w:rFonts w:cs="Times New Roman"/>
          <w:sz w:val="24"/>
          <w:szCs w:val="24"/>
        </w:rPr>
        <w:t xml:space="preserve">Verksviðið innifelur alla vinnu og allt efni við efnisnám, efnisflutninga, hörpun, </w:t>
      </w:r>
      <w:r w:rsidRPr="00E15C05">
        <w:rPr>
          <w:rStyle w:val="fontstyle01"/>
          <w:rFonts w:cs="Times New Roman"/>
          <w:sz w:val="24"/>
          <w:szCs w:val="24"/>
        </w:rPr>
        <w:t xml:space="preserve">flokkun, </w:t>
      </w:r>
      <w:r w:rsidR="002E15D6" w:rsidRPr="00E15C05">
        <w:rPr>
          <w:rStyle w:val="fontstyle01"/>
          <w:rFonts w:cs="Times New Roman"/>
          <w:sz w:val="24"/>
          <w:szCs w:val="24"/>
        </w:rPr>
        <w:t>íblöndun með leir</w:t>
      </w:r>
      <w:r w:rsidR="00CE3948" w:rsidRPr="00E15C05">
        <w:rPr>
          <w:rStyle w:val="fontstyle01"/>
          <w:rFonts w:cs="Times New Roman"/>
          <w:sz w:val="24"/>
          <w:szCs w:val="24"/>
        </w:rPr>
        <w:t>, íblöndun með möl</w:t>
      </w:r>
      <w:r w:rsidR="002E15D6" w:rsidRPr="00E15C05">
        <w:rPr>
          <w:rStyle w:val="fontstyle01"/>
          <w:rFonts w:cs="Times New Roman"/>
          <w:sz w:val="24"/>
          <w:szCs w:val="24"/>
        </w:rPr>
        <w:t xml:space="preserve">, </w:t>
      </w:r>
      <w:r w:rsidRPr="00E15C05">
        <w:rPr>
          <w:rStyle w:val="fontstyle01"/>
          <w:rFonts w:cs="Times New Roman"/>
          <w:sz w:val="24"/>
          <w:szCs w:val="24"/>
        </w:rPr>
        <w:t xml:space="preserve">mölun, </w:t>
      </w:r>
      <w:r w:rsidR="00E858A4" w:rsidRPr="00E15C05">
        <w:rPr>
          <w:rStyle w:val="fontstyle01"/>
          <w:rFonts w:cs="Times New Roman"/>
          <w:sz w:val="24"/>
          <w:szCs w:val="24"/>
        </w:rPr>
        <w:t xml:space="preserve">efnisprófanir og </w:t>
      </w:r>
      <w:r w:rsidRPr="00E15C05">
        <w:rPr>
          <w:rStyle w:val="fontstyle01"/>
          <w:rFonts w:cs="Times New Roman"/>
          <w:sz w:val="24"/>
          <w:szCs w:val="24"/>
        </w:rPr>
        <w:t>haugsetningu</w:t>
      </w:r>
      <w:r w:rsidRPr="00040939">
        <w:rPr>
          <w:rStyle w:val="fontstyle01"/>
          <w:rFonts w:cs="Times New Roman"/>
          <w:sz w:val="24"/>
          <w:szCs w:val="24"/>
        </w:rPr>
        <w:t xml:space="preserve"> efnis ásamt frágangi námu að vinnslu lokinni.</w:t>
      </w:r>
    </w:p>
    <w:p w14:paraId="3FBD8814" w14:textId="77777777" w:rsidR="00E01608" w:rsidRPr="00E01608" w:rsidRDefault="00E01608" w:rsidP="00E01608">
      <w:pPr>
        <w:pStyle w:val="Li-fyrirsagnir"/>
      </w:pPr>
      <w:r w:rsidRPr="00E01608">
        <w:t>b)</w:t>
      </w:r>
      <w:r w:rsidRPr="00E01608">
        <w:tab/>
        <w:t>Efniskröfur</w:t>
      </w:r>
    </w:p>
    <w:p w14:paraId="651A4DD7" w14:textId="353DFA28" w:rsidR="009D137A" w:rsidRDefault="009D137A" w:rsidP="006D07F4">
      <w:pPr>
        <w:jc w:val="both"/>
      </w:pPr>
      <w:r w:rsidRPr="009D137A">
        <w:t xml:space="preserve">Steinefni </w:t>
      </w:r>
      <w:r w:rsidR="0068755D">
        <w:t xml:space="preserve">í malarslitlög </w:t>
      </w:r>
      <w:r w:rsidRPr="009D137A">
        <w:t xml:space="preserve">skal uppfylla kröfur í samræmi við staðla </w:t>
      </w:r>
      <w:r w:rsidRPr="00040939">
        <w:t>ÍST EN 13242 og ÍST EN 13285</w:t>
      </w:r>
      <w:r w:rsidR="0068755D">
        <w:t xml:space="preserve"> </w:t>
      </w:r>
      <w:r w:rsidR="0068755D" w:rsidRPr="00BE674B">
        <w:rPr>
          <w:lang w:eastAsia="is-IS"/>
        </w:rPr>
        <w:t xml:space="preserve">og </w:t>
      </w:r>
      <w:r w:rsidR="0068755D" w:rsidRPr="00BE674B">
        <w:t xml:space="preserve">miðast kröfur við </w:t>
      </w:r>
      <w:r w:rsidR="0068755D">
        <w:t>unnið</w:t>
      </w:r>
      <w:r w:rsidR="0068755D" w:rsidRPr="00BE674B">
        <w:t xml:space="preserve"> efni </w:t>
      </w:r>
      <w:r w:rsidR="0068755D">
        <w:t xml:space="preserve">komið </w:t>
      </w:r>
      <w:r w:rsidR="0068755D" w:rsidRPr="00BE674B">
        <w:t>í lagerhaug</w:t>
      </w:r>
      <w:r w:rsidR="0068755D" w:rsidRPr="00BE674B">
        <w:rPr>
          <w:lang w:eastAsia="is-IS"/>
        </w:rPr>
        <w:t>.</w:t>
      </w:r>
    </w:p>
    <w:p w14:paraId="4716DEB5" w14:textId="77777777" w:rsidR="004238D9" w:rsidRDefault="00BD0267" w:rsidP="006D07F4">
      <w:pPr>
        <w:jc w:val="both"/>
      </w:pPr>
      <w:r w:rsidRPr="001D1230">
        <w:t xml:space="preserve">Efnið skal vera laust við lífræn óhreinindi. </w:t>
      </w:r>
      <w:r w:rsidR="004238D9">
        <w:t>Hlutfall fínefna minna en 0,063 mm verður að vera á milli 8-15% af heildarsýni. Einnig þarf h</w:t>
      </w:r>
      <w:r w:rsidR="004238D9" w:rsidRPr="001D1230">
        <w:t xml:space="preserve">lutfall leirs (&lt; 0,002 mm) af efni minna en 0,063 mm </w:t>
      </w:r>
      <w:r w:rsidR="004238D9">
        <w:t xml:space="preserve">að </w:t>
      </w:r>
      <w:r w:rsidR="004238D9" w:rsidRPr="001D1230">
        <w:t>vera á bilinu 10 til 30%</w:t>
      </w:r>
      <w:r w:rsidR="004238D9">
        <w:t xml:space="preserve"> af heildarmagni fínefna</w:t>
      </w:r>
      <w:r w:rsidR="004238D9" w:rsidRPr="001D1230">
        <w:t>.</w:t>
      </w:r>
    </w:p>
    <w:p w14:paraId="5AA4579E" w14:textId="4AC6471E" w:rsidR="00E01608" w:rsidRPr="00E01608" w:rsidRDefault="00E01608" w:rsidP="006D07F4">
      <w:pPr>
        <w:ind w:left="0"/>
      </w:pPr>
      <w:r w:rsidRPr="006D07F4">
        <w:rPr>
          <w:b/>
        </w:rPr>
        <w:t>c)</w:t>
      </w:r>
      <w:r w:rsidR="004238D9">
        <w:rPr>
          <w:b/>
        </w:rPr>
        <w:t xml:space="preserve">           </w:t>
      </w:r>
      <w:r w:rsidRPr="006D07F4">
        <w:rPr>
          <w:b/>
        </w:rPr>
        <w:t>Vinnugæði</w:t>
      </w:r>
    </w:p>
    <w:p w14:paraId="1E2D4139" w14:textId="0FEFFD7C" w:rsidR="007615AB" w:rsidRDefault="007615AB" w:rsidP="004E5E07">
      <w:pPr>
        <w:jc w:val="both"/>
        <w:rPr>
          <w:rFonts w:cs="Times New Roman"/>
          <w:color w:val="000000"/>
          <w:szCs w:val="24"/>
        </w:rPr>
      </w:pPr>
      <w:r w:rsidRPr="00E15C05">
        <w:rPr>
          <w:rFonts w:cs="Times New Roman"/>
          <w:color w:val="000000"/>
          <w:szCs w:val="24"/>
        </w:rPr>
        <w:t xml:space="preserve">Verkkaupi </w:t>
      </w:r>
      <w:r w:rsidR="00492290" w:rsidRPr="00E15C05">
        <w:rPr>
          <w:rFonts w:cs="Times New Roman"/>
          <w:color w:val="000000"/>
          <w:szCs w:val="24"/>
        </w:rPr>
        <w:t xml:space="preserve">hefur framkvæmt forrannsóknir á þeim námum sem hann vísar til í útboði þessu. </w:t>
      </w:r>
      <w:r w:rsidR="008B498D" w:rsidRPr="00E15C05">
        <w:rPr>
          <w:rFonts w:cs="Times New Roman"/>
          <w:color w:val="000000"/>
          <w:szCs w:val="24"/>
        </w:rPr>
        <w:t>Gæðaflokkun steinefnis (b</w:t>
      </w:r>
      <w:r w:rsidR="00492290" w:rsidRPr="00E15C05">
        <w:rPr>
          <w:rFonts w:cs="Times New Roman"/>
          <w:color w:val="000000"/>
          <w:szCs w:val="24"/>
        </w:rPr>
        <w:t>erggreining</w:t>
      </w:r>
      <w:r w:rsidR="008B498D" w:rsidRPr="00E15C05">
        <w:rPr>
          <w:rFonts w:cs="Times New Roman"/>
          <w:color w:val="000000"/>
          <w:szCs w:val="24"/>
        </w:rPr>
        <w:t>)</w:t>
      </w:r>
      <w:r w:rsidR="00492290" w:rsidRPr="00E15C05">
        <w:rPr>
          <w:rFonts w:cs="Times New Roman"/>
          <w:color w:val="000000"/>
          <w:szCs w:val="24"/>
        </w:rPr>
        <w:t>, styrkleikapróf og athuganir á rýrnunarstuðli fínefna  (LS) er á hendi verkkaupa.</w:t>
      </w:r>
    </w:p>
    <w:p w14:paraId="2CA06408" w14:textId="1F72871A" w:rsidR="004E5E07" w:rsidRPr="00D86ED7" w:rsidRDefault="00040939" w:rsidP="004E5E07">
      <w:pPr>
        <w:jc w:val="both"/>
        <w:rPr>
          <w:rFonts w:cs="Times New Roman"/>
          <w:color w:val="000000"/>
          <w:szCs w:val="24"/>
        </w:rPr>
      </w:pPr>
      <w:r w:rsidRPr="00D86ED7">
        <w:rPr>
          <w:rFonts w:cs="Times New Roman"/>
          <w:color w:val="000000"/>
          <w:szCs w:val="24"/>
        </w:rPr>
        <w:t xml:space="preserve">Við efnisvinnsluna skal </w:t>
      </w:r>
      <w:r w:rsidR="00492290">
        <w:rPr>
          <w:rFonts w:cs="Times New Roman"/>
          <w:color w:val="000000"/>
          <w:szCs w:val="24"/>
        </w:rPr>
        <w:t xml:space="preserve">verktaki </w:t>
      </w:r>
      <w:r w:rsidRPr="00D86ED7">
        <w:rPr>
          <w:rFonts w:cs="Times New Roman"/>
          <w:color w:val="000000"/>
          <w:szCs w:val="24"/>
        </w:rPr>
        <w:t>nota þau tæki sem þarf til að efnið í námunni nýtist sem best,</w:t>
      </w:r>
      <w:r w:rsidR="00492290">
        <w:rPr>
          <w:rFonts w:cs="Times New Roman"/>
          <w:color w:val="000000"/>
          <w:szCs w:val="24"/>
        </w:rPr>
        <w:t xml:space="preserve"> </w:t>
      </w:r>
      <w:r w:rsidRPr="00D86ED7">
        <w:rPr>
          <w:rFonts w:cs="Times New Roman"/>
          <w:color w:val="000000"/>
          <w:szCs w:val="24"/>
        </w:rPr>
        <w:t xml:space="preserve">þannig að kornadreifing, kleyfni og brothlutfall uppfylli þær kröfur sem um efnið er sett. </w:t>
      </w:r>
      <w:r w:rsidR="004E5E07" w:rsidRPr="00D86ED7">
        <w:rPr>
          <w:rFonts w:cs="Times New Roman"/>
          <w:color w:val="000000"/>
          <w:szCs w:val="24"/>
        </w:rPr>
        <w:t xml:space="preserve">Tækjalisti skal liggja fyrir við undirritun samnings. Uppröðun tækja við vinnslu hverrar námu skal gerð í samráði við verkkaupa. </w:t>
      </w:r>
    </w:p>
    <w:p w14:paraId="36B551B1" w14:textId="39F935FC" w:rsidR="00EE4F18" w:rsidRPr="00D86ED7" w:rsidRDefault="00EE4F18" w:rsidP="004E5E07">
      <w:pPr>
        <w:jc w:val="both"/>
        <w:rPr>
          <w:rFonts w:cs="Times New Roman"/>
        </w:rPr>
      </w:pPr>
      <w:r w:rsidRPr="00E15C05">
        <w:rPr>
          <w:rFonts w:cs="Times New Roman"/>
          <w:color w:val="000000"/>
          <w:szCs w:val="24"/>
        </w:rPr>
        <w:t>Í ákveðnum tilvikum þarf að blanda leir</w:t>
      </w:r>
      <w:r w:rsidR="00CE3948" w:rsidRPr="00E15C05">
        <w:rPr>
          <w:rFonts w:cs="Times New Roman"/>
          <w:color w:val="000000"/>
          <w:szCs w:val="24"/>
        </w:rPr>
        <w:t xml:space="preserve"> eða möl</w:t>
      </w:r>
      <w:r w:rsidRPr="00E15C05">
        <w:rPr>
          <w:rFonts w:cs="Times New Roman"/>
          <w:color w:val="000000"/>
          <w:szCs w:val="24"/>
        </w:rPr>
        <w:t xml:space="preserve"> saman við efnið sem </w:t>
      </w:r>
      <w:r w:rsidR="003F4C16" w:rsidRPr="00E15C05">
        <w:rPr>
          <w:rFonts w:cs="Times New Roman"/>
          <w:color w:val="000000"/>
          <w:szCs w:val="24"/>
        </w:rPr>
        <w:t>á að mala til að</w:t>
      </w:r>
      <w:r w:rsidR="003F4C16" w:rsidRPr="00D86ED7">
        <w:rPr>
          <w:rFonts w:cs="Times New Roman"/>
          <w:color w:val="000000"/>
          <w:szCs w:val="24"/>
        </w:rPr>
        <w:t xml:space="preserve"> </w:t>
      </w:r>
      <w:r w:rsidRPr="00D86ED7">
        <w:rPr>
          <w:rFonts w:cs="Times New Roman"/>
          <w:color w:val="000000"/>
          <w:szCs w:val="24"/>
        </w:rPr>
        <w:t>uppfylla kröfur um kornadreifingu</w:t>
      </w:r>
      <w:r w:rsidR="003F4C16" w:rsidRPr="00D86ED7">
        <w:rPr>
          <w:rFonts w:cs="Times New Roman"/>
          <w:color w:val="000000"/>
          <w:szCs w:val="24"/>
        </w:rPr>
        <w:t xml:space="preserve">. </w:t>
      </w:r>
      <w:r w:rsidR="008411E6" w:rsidRPr="00D86ED7">
        <w:rPr>
          <w:rFonts w:cs="Times New Roman"/>
          <w:color w:val="000000"/>
          <w:szCs w:val="24"/>
        </w:rPr>
        <w:t>Tryggja</w:t>
      </w:r>
      <w:r w:rsidR="003F4C16" w:rsidRPr="00D86ED7">
        <w:rPr>
          <w:rFonts w:cs="Times New Roman"/>
          <w:color w:val="000000"/>
          <w:szCs w:val="24"/>
        </w:rPr>
        <w:t xml:space="preserve"> skal </w:t>
      </w:r>
      <w:r w:rsidR="008411E6" w:rsidRPr="00D86ED7">
        <w:rPr>
          <w:rFonts w:cs="Times New Roman"/>
          <w:color w:val="000000"/>
          <w:szCs w:val="24"/>
        </w:rPr>
        <w:t xml:space="preserve">að efnið blandist sem best. </w:t>
      </w:r>
    </w:p>
    <w:p w14:paraId="41EADF32" w14:textId="71F705A4" w:rsidR="00040939" w:rsidRDefault="00040939" w:rsidP="00040939">
      <w:pPr>
        <w:jc w:val="both"/>
      </w:pPr>
      <w:r w:rsidRPr="0009318A">
        <w:rPr>
          <w:rFonts w:eastAsia="Times New Roman" w:cs="Times New Roman"/>
          <w:color w:val="000000"/>
          <w:szCs w:val="24"/>
          <w:lang w:eastAsia="is-IS"/>
        </w:rPr>
        <w:t>Verktaka er óheimilt að taka unnið efni til að jafna með gryfjubotn eða til annarra nota</w:t>
      </w:r>
      <w:r>
        <w:rPr>
          <w:rFonts w:eastAsia="Times New Roman" w:cs="Times New Roman"/>
          <w:color w:val="000000"/>
          <w:szCs w:val="24"/>
          <w:lang w:eastAsia="is-IS"/>
        </w:rPr>
        <w:t xml:space="preserve"> </w:t>
      </w:r>
      <w:r w:rsidRPr="0009318A">
        <w:rPr>
          <w:rFonts w:eastAsia="Times New Roman" w:cs="Times New Roman"/>
          <w:color w:val="000000"/>
          <w:szCs w:val="24"/>
          <w:lang w:eastAsia="is-IS"/>
        </w:rPr>
        <w:t>án heimildar eftirlits. Verktaki skal slétta og ganga frá botni fyrir haugsetningu unnins efnis</w:t>
      </w:r>
      <w:r>
        <w:rPr>
          <w:rFonts w:eastAsia="Times New Roman" w:cs="Times New Roman"/>
          <w:color w:val="000000"/>
          <w:szCs w:val="24"/>
          <w:lang w:eastAsia="is-IS"/>
        </w:rPr>
        <w:t xml:space="preserve"> </w:t>
      </w:r>
      <w:r w:rsidRPr="0009318A">
        <w:rPr>
          <w:rFonts w:eastAsia="Times New Roman" w:cs="Times New Roman"/>
          <w:color w:val="000000"/>
          <w:szCs w:val="24"/>
          <w:lang w:eastAsia="is-IS"/>
        </w:rPr>
        <w:t>og skal eftirlit samþykkja botninn áður en haugsetning hefst. Ef ástæða þykir til skal mæla</w:t>
      </w:r>
      <w:r>
        <w:rPr>
          <w:rFonts w:eastAsia="Times New Roman" w:cs="Times New Roman"/>
          <w:color w:val="000000"/>
          <w:szCs w:val="24"/>
          <w:lang w:eastAsia="is-IS"/>
        </w:rPr>
        <w:t xml:space="preserve"> </w:t>
      </w:r>
      <w:r w:rsidRPr="0009318A">
        <w:rPr>
          <w:rFonts w:eastAsia="Times New Roman" w:cs="Times New Roman"/>
          <w:color w:val="000000"/>
          <w:szCs w:val="24"/>
          <w:lang w:eastAsia="is-IS"/>
        </w:rPr>
        <w:t>upp botn fyrir uppgjör.</w:t>
      </w:r>
    </w:p>
    <w:p w14:paraId="6DC23CE9" w14:textId="77777777" w:rsidR="00DB0D0F" w:rsidRPr="00CD0D8E" w:rsidRDefault="00DB0D0F" w:rsidP="006D07F4">
      <w:pPr>
        <w:jc w:val="both"/>
      </w:pPr>
      <w:r w:rsidRPr="00CD0D8E">
        <w:t>Við vinnslu og haugsetningu skal gæta þess að unnið efni aðskiljist ekki eftir kornastærðum. Hæð efniskeilu undir flutningsbandi skal mest vera 3 m og skal gæta þess að allt efnið falli sem næst lóðrétt af bandinu á hauginn. Haugsetja skal efnið í lagerhaug í mest 2 m þykkum lögum og gæta þess að ekki verði hrun efnis niður eftir haugnum. Áður en haugsetning hefst skal mynd hreinan og sléttan botn undir hauginn.</w:t>
      </w:r>
    </w:p>
    <w:p w14:paraId="4FA7A1CB" w14:textId="77777777" w:rsidR="00E01608" w:rsidRPr="00E01608" w:rsidRDefault="00E01608" w:rsidP="00E01608">
      <w:pPr>
        <w:pStyle w:val="Li-fyrirsagnir"/>
      </w:pPr>
      <w:r w:rsidRPr="00E01608">
        <w:t>d)</w:t>
      </w:r>
      <w:r w:rsidRPr="00E01608">
        <w:tab/>
        <w:t>Prófanir og mælingar</w:t>
      </w:r>
    </w:p>
    <w:p w14:paraId="6CF6B8FE" w14:textId="41097BCE" w:rsidR="00965920" w:rsidRPr="00E15C05" w:rsidRDefault="00300AD1" w:rsidP="006D07F4">
      <w:pPr>
        <w:jc w:val="both"/>
        <w:rPr>
          <w:noProof/>
        </w:rPr>
      </w:pPr>
      <w:r w:rsidRPr="00806A26">
        <w:rPr>
          <w:noProof/>
        </w:rPr>
        <w:t xml:space="preserve">Á verkstað skal vera viðunandi aðstaða til prófana og rannsóknatæki er fullnægja kröfum um nákvæmni prófana. Bæði aðstaða og rannsóknartæki eru háð samþykki </w:t>
      </w:r>
      <w:r w:rsidRPr="00E15C05">
        <w:rPr>
          <w:noProof/>
        </w:rPr>
        <w:lastRenderedPageBreak/>
        <w:t xml:space="preserve">eftirlitsins.  </w:t>
      </w:r>
      <w:r w:rsidRPr="00E15C05">
        <w:t xml:space="preserve">Verkið skal </w:t>
      </w:r>
      <w:r w:rsidR="00CE3948" w:rsidRPr="00E15C05">
        <w:t xml:space="preserve">ávallt </w:t>
      </w:r>
      <w:r w:rsidRPr="00E15C05">
        <w:t>hafið á prufumölun á um það bil 100 m</w:t>
      </w:r>
      <w:r w:rsidRPr="00E15C05">
        <w:rPr>
          <w:vertAlign w:val="superscript"/>
        </w:rPr>
        <w:t>3</w:t>
      </w:r>
      <w:r w:rsidR="00CE3948" w:rsidRPr="00E15C05">
        <w:t xml:space="preserve"> efnis.</w:t>
      </w:r>
      <w:r w:rsidRPr="00E15C05">
        <w:t xml:space="preserve"> </w:t>
      </w:r>
      <w:r w:rsidR="0068755D" w:rsidRPr="00E15C05">
        <w:t xml:space="preserve">Prófa skal efnið, óháð framleiðslumagni, </w:t>
      </w:r>
      <w:r w:rsidR="0068755D" w:rsidRPr="00E15C05">
        <w:rPr>
          <w:noProof/>
        </w:rPr>
        <w:t>í upphafi verks og sí</w:t>
      </w:r>
      <w:r w:rsidR="00A55E6B" w:rsidRPr="00E15C05">
        <w:rPr>
          <w:noProof/>
        </w:rPr>
        <w:t xml:space="preserve">ðan með þeirri tíðni sem </w:t>
      </w:r>
      <w:r w:rsidR="005E7612" w:rsidRPr="00E15C05">
        <w:rPr>
          <w:noProof/>
        </w:rPr>
        <w:t xml:space="preserve">fram kemur í töflu um </w:t>
      </w:r>
      <w:r w:rsidRPr="00E15C05">
        <w:rPr>
          <w:noProof/>
        </w:rPr>
        <w:t>próf á steinefnum og lágmarkstíðni prófana</w:t>
      </w:r>
      <w:r w:rsidR="0068755D" w:rsidRPr="00E15C05">
        <w:rPr>
          <w:noProof/>
        </w:rPr>
        <w:t xml:space="preserve">.  </w:t>
      </w:r>
      <w:r w:rsidR="00965920" w:rsidRPr="00E15C05">
        <w:rPr>
          <w:noProof/>
        </w:rPr>
        <w:t xml:space="preserve">Komi í ljós að efni sem verkaupi eða verktaki leggur til uppfylli ekki kröfur skal verkataki stöðva </w:t>
      </w:r>
      <w:r w:rsidR="00057A3A" w:rsidRPr="00E15C05">
        <w:rPr>
          <w:noProof/>
        </w:rPr>
        <w:t>framleiðslu</w:t>
      </w:r>
      <w:r w:rsidR="00965920" w:rsidRPr="00E15C05">
        <w:rPr>
          <w:noProof/>
        </w:rPr>
        <w:t xml:space="preserve"> og tilkynna verkkaupa það þegar í stað.</w:t>
      </w:r>
      <w:r w:rsidR="0068755D" w:rsidRPr="00E15C05">
        <w:rPr>
          <w:noProof/>
        </w:rPr>
        <w:t xml:space="preserve"> Leiki vafi á hæfni efnisins skal það prófað af óháðum rannsóknaaðilum.</w:t>
      </w:r>
      <w:r w:rsidR="00631C4E" w:rsidRPr="00E15C05">
        <w:rPr>
          <w:noProof/>
        </w:rPr>
        <w:t xml:space="preserve"> Um leið og niðurstöður rannsókna liggja fyrir skal verktaki skila þeim strax til verkkaupa. Á niðurstöðublaði skal </w:t>
      </w:r>
      <w:r w:rsidR="006122AB" w:rsidRPr="00E15C05">
        <w:rPr>
          <w:noProof/>
        </w:rPr>
        <w:t xml:space="preserve">auk þess </w:t>
      </w:r>
      <w:r w:rsidR="00631C4E" w:rsidRPr="00E15C05">
        <w:rPr>
          <w:noProof/>
        </w:rPr>
        <w:t xml:space="preserve">koma fram heiti námu, dagsetning rannsóknar, númer hvað rannsóknin er og hver framkvæmir rannsóknina. </w:t>
      </w:r>
    </w:p>
    <w:p w14:paraId="5023D6B8" w14:textId="7CAF7085" w:rsidR="00965920" w:rsidRPr="00E15C05" w:rsidRDefault="005E7612" w:rsidP="00965920">
      <w:pPr>
        <w:tabs>
          <w:tab w:val="left" w:pos="284"/>
        </w:tabs>
        <w:spacing w:before="240"/>
        <w:rPr>
          <w:rFonts w:cs="Times New Roman"/>
          <w:b/>
          <w:noProof/>
          <w:szCs w:val="24"/>
        </w:rPr>
      </w:pPr>
      <w:r w:rsidRPr="00E15C05">
        <w:rPr>
          <w:b/>
        </w:rPr>
        <w:t>Prófanir</w:t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</w:tblGrid>
      <w:tr w:rsidR="0068755D" w:rsidRPr="00E15C05" w14:paraId="5119AE61" w14:textId="77777777" w:rsidTr="006D07F4">
        <w:trPr>
          <w:trHeight w:val="66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90CAB32" w14:textId="77777777" w:rsidR="0068755D" w:rsidRPr="00E15C05" w:rsidRDefault="0068755D" w:rsidP="005608EF">
            <w:pPr>
              <w:pStyle w:val="abcflokkar"/>
              <w:ind w:left="0"/>
              <w:rPr>
                <w:b/>
                <w:noProof/>
                <w:sz w:val="24"/>
                <w:szCs w:val="24"/>
                <w:lang w:val="is-IS"/>
              </w:rPr>
            </w:pPr>
            <w:r w:rsidRPr="00E15C05">
              <w:rPr>
                <w:b/>
                <w:noProof/>
                <w:sz w:val="24"/>
                <w:szCs w:val="24"/>
                <w:lang w:val="is-IS"/>
              </w:rPr>
              <w:t>Próf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561079B3" w14:textId="77777777" w:rsidR="0068755D" w:rsidRPr="00E15C05" w:rsidRDefault="0068755D" w:rsidP="005608EF">
            <w:pPr>
              <w:pStyle w:val="abcflokkar"/>
              <w:ind w:left="0"/>
              <w:rPr>
                <w:b/>
                <w:noProof/>
                <w:sz w:val="24"/>
                <w:szCs w:val="24"/>
                <w:lang w:val="is-IS"/>
              </w:rPr>
            </w:pPr>
            <w:r w:rsidRPr="00E15C05">
              <w:rPr>
                <w:b/>
                <w:noProof/>
                <w:sz w:val="24"/>
                <w:szCs w:val="24"/>
                <w:lang w:val="is-IS"/>
              </w:rPr>
              <w:t>Prófunaraðferð/mæling</w:t>
            </w:r>
          </w:p>
        </w:tc>
      </w:tr>
      <w:tr w:rsidR="0068755D" w:rsidRPr="00E15C05" w14:paraId="6AE526CC" w14:textId="77777777" w:rsidTr="006D07F4">
        <w:trPr>
          <w:trHeight w:hRule="exact" w:val="340"/>
        </w:trPr>
        <w:tc>
          <w:tcPr>
            <w:tcW w:w="2410" w:type="dxa"/>
            <w:vAlign w:val="center"/>
          </w:tcPr>
          <w:p w14:paraId="61439DB9" w14:textId="49A35A74" w:rsidR="0068755D" w:rsidRPr="00E15C05" w:rsidRDefault="0068755D">
            <w:pPr>
              <w:spacing w:before="0" w:after="0"/>
              <w:ind w:left="0"/>
              <w:rPr>
                <w:rFonts w:cs="Times New Roman"/>
                <w:position w:val="-24"/>
                <w:sz w:val="22"/>
              </w:rPr>
            </w:pPr>
            <w:r w:rsidRPr="00E15C05">
              <w:rPr>
                <w:rFonts w:cs="Times New Roman"/>
                <w:position w:val="-24"/>
                <w:sz w:val="22"/>
              </w:rPr>
              <w:t xml:space="preserve">Húmus </w:t>
            </w:r>
          </w:p>
        </w:tc>
        <w:tc>
          <w:tcPr>
            <w:tcW w:w="5386" w:type="dxa"/>
            <w:vAlign w:val="center"/>
          </w:tcPr>
          <w:p w14:paraId="7A069DEB" w14:textId="77777777" w:rsidR="0068755D" w:rsidRPr="00E15C05" w:rsidRDefault="0068755D" w:rsidP="005608EF">
            <w:pPr>
              <w:spacing w:before="0" w:after="0"/>
              <w:ind w:left="0"/>
              <w:rPr>
                <w:rFonts w:cs="Times New Roman"/>
                <w:position w:val="-24"/>
                <w:sz w:val="22"/>
              </w:rPr>
            </w:pPr>
            <w:r w:rsidRPr="00E15C05">
              <w:rPr>
                <w:position w:val="-24"/>
                <w:sz w:val="22"/>
              </w:rPr>
              <w:t>Sjónmat/ÍST EN 1744-1</w:t>
            </w:r>
          </w:p>
        </w:tc>
      </w:tr>
      <w:tr w:rsidR="0068755D" w:rsidRPr="00E15C05" w14:paraId="7F7DFBF1" w14:textId="77777777" w:rsidTr="006D07F4">
        <w:trPr>
          <w:trHeight w:hRule="exact" w:val="340"/>
        </w:trPr>
        <w:tc>
          <w:tcPr>
            <w:tcW w:w="2410" w:type="dxa"/>
            <w:vAlign w:val="center"/>
          </w:tcPr>
          <w:p w14:paraId="4FCD5EBD" w14:textId="77777777" w:rsidR="0068755D" w:rsidRPr="00E15C05" w:rsidRDefault="0068755D" w:rsidP="005608EF">
            <w:pPr>
              <w:spacing w:before="0" w:after="0"/>
              <w:ind w:left="0"/>
              <w:rPr>
                <w:rFonts w:cs="Times New Roman"/>
                <w:position w:val="-24"/>
                <w:sz w:val="22"/>
              </w:rPr>
            </w:pPr>
            <w:r w:rsidRPr="00E15C05">
              <w:rPr>
                <w:rFonts w:cs="Times New Roman"/>
                <w:position w:val="-24"/>
                <w:sz w:val="22"/>
              </w:rPr>
              <w:t>Kornadreifing</w:t>
            </w:r>
          </w:p>
        </w:tc>
        <w:tc>
          <w:tcPr>
            <w:tcW w:w="5386" w:type="dxa"/>
            <w:vAlign w:val="center"/>
          </w:tcPr>
          <w:p w14:paraId="14B85ABF" w14:textId="77777777" w:rsidR="0068755D" w:rsidRPr="00E15C05" w:rsidRDefault="0068755D" w:rsidP="005608EF">
            <w:pPr>
              <w:spacing w:before="0" w:after="0"/>
              <w:ind w:left="0"/>
              <w:rPr>
                <w:rFonts w:cs="Times New Roman"/>
                <w:i/>
                <w:iCs/>
                <w:sz w:val="22"/>
              </w:rPr>
            </w:pPr>
            <w:r w:rsidRPr="00E15C05">
              <w:rPr>
                <w:rFonts w:cs="Times New Roman"/>
                <w:position w:val="-24"/>
                <w:sz w:val="22"/>
              </w:rPr>
              <w:t>ÍST EN 13043</w:t>
            </w:r>
          </w:p>
        </w:tc>
      </w:tr>
      <w:tr w:rsidR="00D86029" w:rsidRPr="00E15C05" w14:paraId="52D84AC0" w14:textId="77777777" w:rsidTr="006D07F4">
        <w:trPr>
          <w:trHeight w:hRule="exact" w:val="340"/>
        </w:trPr>
        <w:tc>
          <w:tcPr>
            <w:tcW w:w="2410" w:type="dxa"/>
            <w:vAlign w:val="center"/>
          </w:tcPr>
          <w:p w14:paraId="07390570" w14:textId="33374F1A" w:rsidR="00D86029" w:rsidRPr="00E15C05" w:rsidRDefault="00D86029" w:rsidP="005608EF">
            <w:pPr>
              <w:spacing w:before="0" w:after="0"/>
              <w:ind w:left="0"/>
              <w:rPr>
                <w:rFonts w:cs="Times New Roman"/>
                <w:position w:val="-24"/>
                <w:sz w:val="22"/>
              </w:rPr>
            </w:pPr>
            <w:r w:rsidRPr="00E15C05">
              <w:rPr>
                <w:rFonts w:cs="Times New Roman"/>
                <w:position w:val="-24"/>
                <w:sz w:val="22"/>
              </w:rPr>
              <w:t>Kornadreifing fínefna</w:t>
            </w:r>
          </w:p>
        </w:tc>
        <w:tc>
          <w:tcPr>
            <w:tcW w:w="5386" w:type="dxa"/>
            <w:vAlign w:val="center"/>
          </w:tcPr>
          <w:p w14:paraId="3192411A" w14:textId="0E0903F8" w:rsidR="00D86029" w:rsidRPr="00E15C05" w:rsidRDefault="00B542EA" w:rsidP="005608EF">
            <w:pPr>
              <w:spacing w:before="0" w:after="0"/>
              <w:ind w:left="0"/>
              <w:rPr>
                <w:rFonts w:cs="Times New Roman"/>
                <w:position w:val="-24"/>
                <w:sz w:val="22"/>
              </w:rPr>
            </w:pPr>
            <w:r w:rsidRPr="00E15C05">
              <w:rPr>
                <w:rFonts w:cs="Times New Roman"/>
                <w:position w:val="-24"/>
                <w:sz w:val="22"/>
              </w:rPr>
              <w:t>Ljörvaaðferð</w:t>
            </w:r>
            <w:r w:rsidR="004A5EED" w:rsidRPr="00E15C05">
              <w:rPr>
                <w:rFonts w:cs="Times New Roman"/>
                <w:position w:val="-24"/>
                <w:sz w:val="22"/>
              </w:rPr>
              <w:t xml:space="preserve"> (lazer)</w:t>
            </w:r>
            <w:r w:rsidR="00384333" w:rsidRPr="00E15C05">
              <w:rPr>
                <w:rFonts w:cs="Times New Roman"/>
                <w:position w:val="-24"/>
                <w:sz w:val="22"/>
              </w:rPr>
              <w:t>/mæling m/flotvog ASTM D422</w:t>
            </w:r>
          </w:p>
        </w:tc>
      </w:tr>
      <w:tr w:rsidR="0068755D" w:rsidRPr="00E15C05" w14:paraId="75E196D0" w14:textId="77777777" w:rsidTr="006D07F4">
        <w:trPr>
          <w:trHeight w:val="20"/>
        </w:trPr>
        <w:tc>
          <w:tcPr>
            <w:tcW w:w="2410" w:type="dxa"/>
            <w:vAlign w:val="center"/>
          </w:tcPr>
          <w:p w14:paraId="05CD7F1C" w14:textId="77777777" w:rsidR="0068755D" w:rsidRPr="00E15C05" w:rsidRDefault="0068755D" w:rsidP="005608EF">
            <w:pPr>
              <w:spacing w:before="0" w:after="0"/>
              <w:ind w:left="0"/>
              <w:rPr>
                <w:rFonts w:cs="Times New Roman"/>
                <w:position w:val="-24"/>
                <w:sz w:val="22"/>
              </w:rPr>
            </w:pPr>
            <w:r w:rsidRPr="00E15C05">
              <w:rPr>
                <w:rFonts w:cs="Times New Roman"/>
                <w:position w:val="-24"/>
                <w:sz w:val="22"/>
              </w:rPr>
              <w:t>Brothlutfall*</w:t>
            </w:r>
          </w:p>
        </w:tc>
        <w:tc>
          <w:tcPr>
            <w:tcW w:w="5386" w:type="dxa"/>
            <w:vAlign w:val="center"/>
          </w:tcPr>
          <w:p w14:paraId="3791F7F0" w14:textId="77777777" w:rsidR="0068755D" w:rsidRPr="00E15C05" w:rsidRDefault="0068755D" w:rsidP="005608EF">
            <w:pPr>
              <w:pStyle w:val="abcflokkar"/>
              <w:spacing w:before="0" w:after="0"/>
              <w:ind w:left="0"/>
              <w:rPr>
                <w:sz w:val="22"/>
                <w:szCs w:val="22"/>
                <w:lang w:val="is-IS"/>
              </w:rPr>
            </w:pPr>
            <w:r w:rsidRPr="00E15C05">
              <w:rPr>
                <w:position w:val="-24"/>
                <w:sz w:val="22"/>
                <w:szCs w:val="22"/>
                <w:lang w:val="is-IS"/>
              </w:rPr>
              <w:t>ÍST EN 933-5</w:t>
            </w:r>
          </w:p>
        </w:tc>
      </w:tr>
      <w:tr w:rsidR="0068755D" w:rsidRPr="00E15C05" w14:paraId="71B24CAD" w14:textId="77777777" w:rsidTr="006D07F4">
        <w:trPr>
          <w:trHeight w:val="20"/>
        </w:trPr>
        <w:tc>
          <w:tcPr>
            <w:tcW w:w="2410" w:type="dxa"/>
            <w:vAlign w:val="center"/>
          </w:tcPr>
          <w:p w14:paraId="6A63A797" w14:textId="77777777" w:rsidR="0068755D" w:rsidRPr="00E15C05" w:rsidRDefault="0068755D" w:rsidP="005608EF">
            <w:pPr>
              <w:spacing w:before="0" w:after="0"/>
              <w:ind w:left="0"/>
              <w:rPr>
                <w:rFonts w:cs="Times New Roman"/>
                <w:position w:val="-24"/>
                <w:sz w:val="22"/>
              </w:rPr>
            </w:pPr>
            <w:r w:rsidRPr="00E15C05">
              <w:rPr>
                <w:rFonts w:cs="Times New Roman"/>
                <w:position w:val="-24"/>
                <w:sz w:val="22"/>
              </w:rPr>
              <w:t>Kornalögun</w:t>
            </w:r>
          </w:p>
        </w:tc>
        <w:tc>
          <w:tcPr>
            <w:tcW w:w="5386" w:type="dxa"/>
            <w:vAlign w:val="center"/>
          </w:tcPr>
          <w:p w14:paraId="0C2139C7" w14:textId="77777777" w:rsidR="0068755D" w:rsidRPr="00E15C05" w:rsidRDefault="0068755D" w:rsidP="005608EF">
            <w:pPr>
              <w:spacing w:before="0" w:after="0"/>
              <w:ind w:left="0"/>
              <w:rPr>
                <w:rFonts w:cs="Times New Roman"/>
                <w:position w:val="-24"/>
                <w:sz w:val="22"/>
              </w:rPr>
            </w:pPr>
            <w:r w:rsidRPr="00E15C05">
              <w:rPr>
                <w:rFonts w:cs="Times New Roman"/>
                <w:position w:val="-24"/>
                <w:sz w:val="22"/>
              </w:rPr>
              <w:t>ÍST EN 933-3</w:t>
            </w:r>
          </w:p>
        </w:tc>
      </w:tr>
    </w:tbl>
    <w:p w14:paraId="066361F0" w14:textId="2B0E3CE7" w:rsidR="0068755D" w:rsidRPr="006122AB" w:rsidRDefault="0068755D" w:rsidP="00DA2A30">
      <w:pPr>
        <w:pStyle w:val="ListParagraph"/>
        <w:ind w:left="851"/>
        <w:rPr>
          <w:rFonts w:cs="Times New Roman"/>
          <w:sz w:val="22"/>
        </w:rPr>
      </w:pPr>
      <w:r w:rsidRPr="00E15C05">
        <w:rPr>
          <w:rFonts w:cs="Times New Roman"/>
          <w:sz w:val="22"/>
        </w:rPr>
        <w:t>*Gildir ekki fyrir malað berg</w:t>
      </w:r>
    </w:p>
    <w:p w14:paraId="6DADFB69" w14:textId="77777777" w:rsidR="00A55E6B" w:rsidRPr="006122AB" w:rsidRDefault="00A55E6B" w:rsidP="006D07F4">
      <w:pPr>
        <w:pStyle w:val="ListParagraph"/>
        <w:ind w:left="0"/>
        <w:rPr>
          <w:rFonts w:cs="Times New Roman"/>
          <w:sz w:val="22"/>
        </w:rPr>
      </w:pPr>
    </w:p>
    <w:p w14:paraId="6DC12F74" w14:textId="4A03A363" w:rsidR="002B79A4" w:rsidRPr="006D07F4" w:rsidRDefault="00A55E6B" w:rsidP="006D07F4">
      <w:pPr>
        <w:pStyle w:val="ListParagraph"/>
        <w:ind w:left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           </w:t>
      </w:r>
      <w:r w:rsidR="00300AD1">
        <w:rPr>
          <w:rFonts w:eastAsia="Times New Roman" w:cs="Times New Roman"/>
          <w:b/>
          <w:color w:val="000000"/>
          <w:szCs w:val="24"/>
          <w:lang w:eastAsia="en-GB"/>
        </w:rPr>
        <w:t>Próf á steinefnum og l</w:t>
      </w:r>
      <w:r w:rsidR="00300AD1" w:rsidRPr="00DD0A47">
        <w:rPr>
          <w:rFonts w:eastAsia="Times New Roman" w:cs="Times New Roman"/>
          <w:b/>
          <w:color w:val="000000"/>
          <w:szCs w:val="24"/>
          <w:lang w:eastAsia="en-GB"/>
        </w:rPr>
        <w:t xml:space="preserve">ágmarkstíðni </w:t>
      </w:r>
      <w:r w:rsidR="00300AD1">
        <w:rPr>
          <w:rFonts w:eastAsia="Times New Roman" w:cs="Times New Roman"/>
          <w:b/>
          <w:color w:val="000000"/>
          <w:szCs w:val="24"/>
          <w:lang w:eastAsia="en-GB"/>
        </w:rPr>
        <w:t>prófana**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7"/>
        <w:gridCol w:w="2409"/>
      </w:tblGrid>
      <w:tr w:rsidR="002B79A4" w:rsidRPr="00706003" w14:paraId="0676BD0D" w14:textId="77777777" w:rsidTr="006D07F4">
        <w:trPr>
          <w:trHeight w:val="466"/>
          <w:jc w:val="center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582" w14:textId="7918A1FF" w:rsidR="002B79A4" w:rsidRPr="005608EF" w:rsidRDefault="00300AD1" w:rsidP="005608EF">
            <w:pPr>
              <w:spacing w:after="0"/>
              <w:ind w:left="0"/>
              <w:rPr>
                <w:rFonts w:eastAsia="Times New Roman"/>
                <w:b/>
                <w:szCs w:val="24"/>
                <w:lang w:eastAsia="en-GB"/>
              </w:rPr>
            </w:pPr>
            <w:r>
              <w:rPr>
                <w:rFonts w:eastAsia="Times New Roman"/>
                <w:b/>
                <w:szCs w:val="24"/>
                <w:lang w:eastAsia="en-GB"/>
              </w:rPr>
              <w:t>Próf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7C19" w14:textId="77777777" w:rsidR="002B79A4" w:rsidRPr="005608EF" w:rsidRDefault="002B79A4" w:rsidP="005608EF">
            <w:pPr>
              <w:spacing w:after="0"/>
              <w:ind w:left="0"/>
              <w:rPr>
                <w:rFonts w:eastAsia="Times New Roman"/>
                <w:b/>
                <w:szCs w:val="24"/>
                <w:lang w:eastAsia="en-GB"/>
              </w:rPr>
            </w:pPr>
            <w:r w:rsidRPr="005608EF">
              <w:rPr>
                <w:rFonts w:eastAsia="Times New Roman"/>
                <w:b/>
                <w:szCs w:val="24"/>
                <w:lang w:eastAsia="en-GB"/>
              </w:rPr>
              <w:t>Tíðni</w:t>
            </w:r>
          </w:p>
        </w:tc>
      </w:tr>
      <w:tr w:rsidR="002B79A4" w:rsidRPr="00706003" w14:paraId="3A1E1F64" w14:textId="77777777" w:rsidTr="006D07F4">
        <w:trPr>
          <w:trHeight w:val="233"/>
          <w:jc w:val="center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59D7" w14:textId="3C8D1424" w:rsidR="002B79A4" w:rsidRPr="00706003" w:rsidRDefault="007A6D03" w:rsidP="007A6D03">
            <w:pPr>
              <w:spacing w:after="0"/>
              <w:ind w:left="0"/>
              <w:rPr>
                <w:rFonts w:eastAsia="Times New Roman"/>
                <w:szCs w:val="24"/>
                <w:lang w:eastAsia="en-GB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>H</w:t>
            </w:r>
            <w:r w:rsidR="001F03A2"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>úmus</w:t>
            </w:r>
            <w:r w:rsidR="002B79A4" w:rsidRPr="00706003"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56D5" w14:textId="140F4D89" w:rsidR="002B79A4" w:rsidRPr="00706003" w:rsidRDefault="00EC59B0" w:rsidP="005608EF">
            <w:pPr>
              <w:spacing w:after="0"/>
              <w:ind w:left="0"/>
              <w:rPr>
                <w:rFonts w:eastAsia="Times New Roman"/>
                <w:szCs w:val="24"/>
                <w:lang w:eastAsia="en-GB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>500</w:t>
            </w:r>
            <w:r w:rsidR="001F03A2"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 xml:space="preserve"> m</w:t>
            </w:r>
            <w:r w:rsidR="001F03A2" w:rsidRPr="00EC59B0">
              <w:rPr>
                <w:rFonts w:ascii="TimesNewRomanPSMT" w:eastAsia="Times New Roman" w:hAnsi="TimesNewRomanPSMT"/>
                <w:color w:val="000000"/>
                <w:sz w:val="22"/>
                <w:vertAlign w:val="superscript"/>
                <w:lang w:eastAsia="en-GB"/>
              </w:rPr>
              <w:t>3</w:t>
            </w:r>
          </w:p>
        </w:tc>
      </w:tr>
      <w:tr w:rsidR="007A6D03" w:rsidRPr="00706003" w14:paraId="63851B5C" w14:textId="77777777" w:rsidTr="006D07F4">
        <w:trPr>
          <w:trHeight w:val="233"/>
          <w:jc w:val="center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4C81" w14:textId="7EF73D36" w:rsidR="007A6D03" w:rsidRDefault="007A6D03" w:rsidP="005608EF">
            <w:pPr>
              <w:spacing w:after="0"/>
              <w:ind w:left="0"/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>Kornadreifing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FE1" w14:textId="0B4A8B03" w:rsidR="007A6D03" w:rsidRDefault="007A6D03" w:rsidP="005608EF">
            <w:pPr>
              <w:spacing w:after="0"/>
              <w:ind w:left="0"/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>Daglega</w:t>
            </w:r>
          </w:p>
        </w:tc>
      </w:tr>
      <w:tr w:rsidR="007A6D03" w:rsidRPr="00706003" w14:paraId="074B5270" w14:textId="77777777" w:rsidTr="00D13456">
        <w:trPr>
          <w:trHeight w:val="233"/>
          <w:jc w:val="center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2611" w14:textId="77777777" w:rsidR="007A6D03" w:rsidRPr="00706003" w:rsidRDefault="007A6D03" w:rsidP="00D13456">
            <w:pPr>
              <w:spacing w:after="0"/>
              <w:ind w:left="0"/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>Kornadreifing fínefna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4BA" w14:textId="77777777" w:rsidR="007A6D03" w:rsidRDefault="007A6D03" w:rsidP="00D13456">
            <w:pPr>
              <w:spacing w:after="0"/>
              <w:ind w:left="0"/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>3000 m</w:t>
            </w:r>
            <w:r w:rsidRPr="00EC59B0">
              <w:rPr>
                <w:rFonts w:ascii="TimesNewRomanPSMT" w:eastAsia="Times New Roman" w:hAnsi="TimesNewRomanPSMT"/>
                <w:color w:val="000000"/>
                <w:sz w:val="22"/>
                <w:vertAlign w:val="superscript"/>
                <w:lang w:eastAsia="en-GB"/>
              </w:rPr>
              <w:t>3</w:t>
            </w:r>
          </w:p>
        </w:tc>
      </w:tr>
      <w:tr w:rsidR="002B79A4" w:rsidRPr="00706003" w14:paraId="4DF112CA" w14:textId="77777777" w:rsidTr="006D07F4">
        <w:trPr>
          <w:trHeight w:val="222"/>
          <w:jc w:val="center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CA29" w14:textId="77777777" w:rsidR="002B79A4" w:rsidRPr="00706003" w:rsidRDefault="002B79A4" w:rsidP="005608EF">
            <w:pPr>
              <w:spacing w:after="0"/>
              <w:ind w:left="0"/>
              <w:rPr>
                <w:rFonts w:eastAsia="Times New Roman"/>
                <w:szCs w:val="24"/>
                <w:lang w:eastAsia="en-GB"/>
              </w:rPr>
            </w:pPr>
            <w:r w:rsidRPr="00706003"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 xml:space="preserve">Brothlutfall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54AB" w14:textId="37570464" w:rsidR="002B79A4" w:rsidRPr="00706003" w:rsidRDefault="001F03A2" w:rsidP="005608EF">
            <w:pPr>
              <w:spacing w:after="0"/>
              <w:ind w:left="0"/>
              <w:rPr>
                <w:rFonts w:eastAsia="Times New Roman"/>
                <w:szCs w:val="24"/>
                <w:lang w:eastAsia="en-GB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>2000</w:t>
            </w:r>
            <w:r w:rsidR="00EC59B0"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 xml:space="preserve"> m</w:t>
            </w:r>
            <w:r w:rsidR="00EC59B0" w:rsidRPr="00EC59B0">
              <w:rPr>
                <w:rFonts w:ascii="TimesNewRomanPSMT" w:eastAsia="Times New Roman" w:hAnsi="TimesNewRomanPSMT"/>
                <w:color w:val="000000"/>
                <w:sz w:val="22"/>
                <w:vertAlign w:val="superscript"/>
                <w:lang w:eastAsia="en-GB"/>
              </w:rPr>
              <w:t>3</w:t>
            </w:r>
          </w:p>
        </w:tc>
      </w:tr>
      <w:tr w:rsidR="002B79A4" w:rsidRPr="00706003" w14:paraId="7F31E3A9" w14:textId="77777777" w:rsidTr="006D07F4">
        <w:trPr>
          <w:trHeight w:val="233"/>
          <w:jc w:val="center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B42A" w14:textId="77777777" w:rsidR="002B79A4" w:rsidRPr="00706003" w:rsidRDefault="002B79A4" w:rsidP="005608EF">
            <w:pPr>
              <w:spacing w:after="0"/>
              <w:ind w:left="0"/>
              <w:rPr>
                <w:rFonts w:eastAsia="Times New Roman"/>
                <w:szCs w:val="24"/>
                <w:lang w:eastAsia="en-GB"/>
              </w:rPr>
            </w:pPr>
            <w:r w:rsidRPr="00706003"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 xml:space="preserve">Kornalögun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6E7E" w14:textId="5072F069" w:rsidR="002B79A4" w:rsidRPr="00706003" w:rsidRDefault="001F03A2" w:rsidP="005608EF">
            <w:pPr>
              <w:spacing w:after="0"/>
              <w:ind w:left="0"/>
              <w:rPr>
                <w:rFonts w:eastAsia="Times New Roman"/>
                <w:szCs w:val="24"/>
                <w:lang w:eastAsia="en-GB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 xml:space="preserve">2000 </w:t>
            </w:r>
            <w:r w:rsidR="00EC59B0">
              <w:rPr>
                <w:rFonts w:ascii="TimesNewRomanPSMT" w:eastAsia="Times New Roman" w:hAnsi="TimesNewRomanPSMT"/>
                <w:color w:val="000000"/>
                <w:sz w:val="22"/>
                <w:lang w:eastAsia="en-GB"/>
              </w:rPr>
              <w:t>m</w:t>
            </w:r>
            <w:r w:rsidR="00EC59B0" w:rsidRPr="00EC59B0">
              <w:rPr>
                <w:rFonts w:ascii="TimesNewRomanPSMT" w:eastAsia="Times New Roman" w:hAnsi="TimesNewRomanPSMT"/>
                <w:color w:val="000000"/>
                <w:sz w:val="22"/>
                <w:vertAlign w:val="superscript"/>
                <w:lang w:eastAsia="en-GB"/>
              </w:rPr>
              <w:t>3</w:t>
            </w:r>
          </w:p>
        </w:tc>
      </w:tr>
    </w:tbl>
    <w:p w14:paraId="20C76637" w14:textId="531A17C2" w:rsidR="001F03A2" w:rsidRDefault="001F03A2" w:rsidP="00DA2A30">
      <w:pPr>
        <w:pStyle w:val="ListParagraph"/>
        <w:ind w:left="1134" w:hanging="283"/>
        <w:rPr>
          <w:rFonts w:cs="Times New Roman"/>
          <w:sz w:val="22"/>
        </w:rPr>
      </w:pPr>
      <w:r>
        <w:rPr>
          <w:rFonts w:cs="Times New Roman"/>
          <w:szCs w:val="24"/>
        </w:rPr>
        <w:t xml:space="preserve">** </w:t>
      </w:r>
      <w:r w:rsidRPr="00DD0A47">
        <w:rPr>
          <w:rFonts w:cs="Times New Roman"/>
          <w:sz w:val="22"/>
        </w:rPr>
        <w:t>öll próf skulu framkvæmd í upphafi verks og svo með þeirri tíðni sem taflan segir</w:t>
      </w:r>
      <w:r>
        <w:rPr>
          <w:rFonts w:cs="Times New Roman"/>
          <w:sz w:val="22"/>
        </w:rPr>
        <w:t xml:space="preserve"> til um.</w:t>
      </w:r>
    </w:p>
    <w:p w14:paraId="1EF23340" w14:textId="77777777" w:rsidR="002B79A4" w:rsidRPr="00F46E28" w:rsidRDefault="002B79A4" w:rsidP="006D07F4">
      <w:pPr>
        <w:pStyle w:val="ListParagraph"/>
        <w:ind w:left="0"/>
        <w:rPr>
          <w:rFonts w:cs="Times New Roman"/>
          <w:szCs w:val="24"/>
        </w:rPr>
      </w:pPr>
    </w:p>
    <w:p w14:paraId="5CE72708" w14:textId="77777777" w:rsidR="00BD0267" w:rsidRPr="00E01608" w:rsidRDefault="00BD0267" w:rsidP="00E01608">
      <w:pPr>
        <w:pStyle w:val="Li-fyrirsagnir"/>
      </w:pPr>
      <w:bookmarkStart w:id="1" w:name="_Toc132188615"/>
      <w:bookmarkStart w:id="2" w:name="_Toc182717065"/>
      <w:bookmarkStart w:id="3" w:name="_Toc184452073"/>
      <w:bookmarkStart w:id="4" w:name="_Toc184452135"/>
      <w:r w:rsidRPr="00E01608">
        <w:t>e)</w:t>
      </w:r>
      <w:r w:rsidRPr="00E01608">
        <w:tab/>
        <w:t>Nákvæmnikröfur, þolvik</w:t>
      </w:r>
      <w:bookmarkEnd w:id="1"/>
      <w:bookmarkEnd w:id="2"/>
      <w:bookmarkEnd w:id="3"/>
      <w:bookmarkEnd w:id="4"/>
    </w:p>
    <w:p w14:paraId="7CFB183A" w14:textId="2FD123DA" w:rsidR="00AC72F9" w:rsidRPr="005E5295" w:rsidRDefault="00E01608" w:rsidP="005E7612">
      <w:pPr>
        <w:jc w:val="both"/>
        <w:rPr>
          <w:rFonts w:cs="Times New Roman"/>
          <w:szCs w:val="24"/>
        </w:rPr>
      </w:pPr>
      <w:r w:rsidRPr="00773EFB">
        <w:t>Um frávik</w:t>
      </w:r>
      <w:r>
        <w:t xml:space="preserve"> á kröfum til efnisgæða steinefna</w:t>
      </w:r>
      <w:r w:rsidRPr="00773EFB">
        <w:t xml:space="preserve"> gildir að eitt sýni af fimm má víkja frá gildandi kröfu en þó má ekkert frávik vera meira en 10% af tölugildi kr</w:t>
      </w:r>
      <w:r>
        <w:t>öfuflokksins í átt til lakari efnis</w:t>
      </w:r>
      <w:r w:rsidRPr="00773EFB">
        <w:t>gæða.</w:t>
      </w:r>
      <w:r>
        <w:t xml:space="preserve"> </w:t>
      </w:r>
    </w:p>
    <w:p w14:paraId="3FB15D45" w14:textId="6FFF2E1A" w:rsidR="00757F6C" w:rsidRDefault="00757F6C" w:rsidP="006D07F4">
      <w:pPr>
        <w:ind w:left="0"/>
      </w:pPr>
      <w:bookmarkStart w:id="5" w:name="_Toc492600298"/>
    </w:p>
    <w:p w14:paraId="706E1222" w14:textId="77777777" w:rsidR="00492290" w:rsidRDefault="00492290" w:rsidP="006D07F4">
      <w:pPr>
        <w:ind w:left="0"/>
      </w:pPr>
    </w:p>
    <w:p w14:paraId="5BA6B79B" w14:textId="77777777" w:rsidR="00D36021" w:rsidRDefault="005E7612" w:rsidP="005E7612">
      <w:pPr>
        <w:ind w:left="0"/>
        <w:jc w:val="both"/>
        <w:rPr>
          <w:b/>
          <w:szCs w:val="24"/>
        </w:rPr>
      </w:pPr>
      <w:r w:rsidRPr="00AA2C43">
        <w:rPr>
          <w:b/>
          <w:szCs w:val="24"/>
        </w:rPr>
        <w:t xml:space="preserve">Efnisvinnsla </w:t>
      </w:r>
      <w:r w:rsidR="00D86ED7">
        <w:rPr>
          <w:b/>
          <w:szCs w:val="24"/>
        </w:rPr>
        <w:t>–</w:t>
      </w:r>
      <w:r w:rsidRPr="00AA2C43">
        <w:rPr>
          <w:b/>
          <w:szCs w:val="24"/>
        </w:rPr>
        <w:t xml:space="preserve"> verkþættir</w:t>
      </w:r>
      <w:r w:rsidR="00D36021">
        <w:rPr>
          <w:b/>
          <w:szCs w:val="24"/>
        </w:rPr>
        <w:t xml:space="preserve"> </w:t>
      </w:r>
    </w:p>
    <w:p w14:paraId="7FAD2CA8" w14:textId="77777777" w:rsidR="00D86ED7" w:rsidRPr="00AA2C43" w:rsidRDefault="00D86ED7" w:rsidP="005E7612">
      <w:pPr>
        <w:ind w:left="0"/>
        <w:jc w:val="both"/>
        <w:rPr>
          <w:b/>
          <w:szCs w:val="24"/>
        </w:rPr>
      </w:pPr>
    </w:p>
    <w:p w14:paraId="7E6764A9" w14:textId="5A51282B" w:rsidR="00D86ED7" w:rsidRPr="00300AD1" w:rsidRDefault="00D86ED7" w:rsidP="00D86ED7">
      <w:pPr>
        <w:pStyle w:val="Kaflafyrirsagnir"/>
      </w:pPr>
      <w:bookmarkStart w:id="6" w:name="_Toc21612164"/>
      <w:r w:rsidRPr="00300AD1">
        <w:rPr>
          <w:color w:val="000000" w:themeColor="text1"/>
        </w:rPr>
        <w:t>6</w:t>
      </w:r>
      <w:r w:rsidR="004E256A">
        <w:rPr>
          <w:color w:val="000000" w:themeColor="text1"/>
        </w:rPr>
        <w:t>1</w:t>
      </w:r>
      <w:r w:rsidRPr="00300AD1">
        <w:rPr>
          <w:color w:val="000000" w:themeColor="text1"/>
        </w:rPr>
        <w:t>.</w:t>
      </w:r>
      <w:r w:rsidR="001F6952">
        <w:rPr>
          <w:color w:val="000000" w:themeColor="text1"/>
        </w:rPr>
        <w:t>1</w:t>
      </w:r>
      <w:r w:rsidRPr="00300AD1">
        <w:rPr>
          <w:color w:val="000000" w:themeColor="text1"/>
        </w:rPr>
        <w:t>21</w:t>
      </w:r>
      <w:r w:rsidR="00A71ABD">
        <w:rPr>
          <w:color w:val="000000" w:themeColor="text1"/>
        </w:rPr>
        <w:t>1</w:t>
      </w:r>
      <w:r w:rsidRPr="00300AD1">
        <w:rPr>
          <w:color w:val="000000" w:themeColor="text1"/>
        </w:rPr>
        <w:t xml:space="preserve"> </w:t>
      </w:r>
      <w:r w:rsidRPr="00300AD1">
        <w:t>Mölun efnis í malarslitlag, 0/11 mm</w:t>
      </w:r>
      <w:bookmarkEnd w:id="6"/>
    </w:p>
    <w:p w14:paraId="548BAE64" w14:textId="6E6D31C2" w:rsidR="00300AD1" w:rsidRPr="00300AD1" w:rsidRDefault="00D86ED7" w:rsidP="00300AD1">
      <w:pPr>
        <w:pStyle w:val="NoSpacing"/>
        <w:rPr>
          <w:i/>
          <w:color w:val="5B9BD5" w:themeColor="accent1"/>
        </w:rPr>
      </w:pPr>
      <w:r w:rsidRPr="00300AD1">
        <w:rPr>
          <w:b/>
        </w:rPr>
        <w:t xml:space="preserve">a) </w:t>
      </w:r>
      <w:r w:rsidRPr="00300AD1">
        <w:rPr>
          <w:b/>
        </w:rPr>
        <w:tab/>
      </w:r>
      <w:r w:rsidRPr="00300AD1">
        <w:t xml:space="preserve">Um er að ræða steinefni í malarslitlag. </w:t>
      </w:r>
      <w:r w:rsidR="00E07034">
        <w:t xml:space="preserve">Upplýsingar um magn og námur er að finna í </w:t>
      </w:r>
      <w:r w:rsidR="00CE3948" w:rsidRPr="007A6D03">
        <w:t xml:space="preserve">fylgiskjali </w:t>
      </w:r>
      <w:r w:rsidR="00E15C05" w:rsidRPr="00BE674B">
        <w:rPr>
          <w:i/>
          <w:color w:val="5B9BD5" w:themeColor="accent1"/>
        </w:rPr>
        <w:t>[</w:t>
      </w:r>
      <w:r w:rsidR="00E15C05">
        <w:rPr>
          <w:i/>
          <w:color w:val="5B9BD5" w:themeColor="accent1"/>
        </w:rPr>
        <w:t>nr. skjals</w:t>
      </w:r>
      <w:r w:rsidR="00E15C05" w:rsidRPr="00BE674B">
        <w:rPr>
          <w:i/>
          <w:color w:val="5B9BD5" w:themeColor="accent1"/>
        </w:rPr>
        <w:t>]</w:t>
      </w:r>
      <w:r w:rsidR="00E15C05">
        <w:rPr>
          <w:i/>
          <w:color w:val="5B9BD5" w:themeColor="accent1"/>
        </w:rPr>
        <w:t xml:space="preserve"> , </w:t>
      </w:r>
      <w:r w:rsidR="00E15C05" w:rsidRPr="00BE674B">
        <w:rPr>
          <w:i/>
          <w:color w:val="5B9BD5" w:themeColor="accent1"/>
        </w:rPr>
        <w:t>[nánari lýsing]</w:t>
      </w:r>
    </w:p>
    <w:p w14:paraId="1021FF1A" w14:textId="46DBBCC4" w:rsidR="00D86ED7" w:rsidRPr="00300AD1" w:rsidRDefault="00D86ED7" w:rsidP="00300AD1">
      <w:pPr>
        <w:pStyle w:val="NoSpacing"/>
        <w:rPr>
          <w:b/>
        </w:rPr>
      </w:pPr>
      <w:r w:rsidRPr="00300AD1">
        <w:rPr>
          <w:b/>
        </w:rPr>
        <w:t>b)</w:t>
      </w:r>
      <w:r w:rsidRPr="00300AD1">
        <w:tab/>
        <w:t xml:space="preserve">Stærðarflokkur </w:t>
      </w:r>
      <w:r w:rsidR="00300AD1">
        <w:t xml:space="preserve">malaðs efnis skal vera 0/11 mm </w:t>
      </w:r>
      <w:r w:rsidRPr="00300AD1">
        <w:t xml:space="preserve"> </w:t>
      </w:r>
    </w:p>
    <w:p w14:paraId="1CFBAD3C" w14:textId="77777777" w:rsidR="008B498D" w:rsidRDefault="008B498D" w:rsidP="008B498D">
      <w:pPr>
        <w:pStyle w:val="NoSpacing"/>
        <w:rPr>
          <w:i/>
          <w:color w:val="5B9BD5" w:themeColor="accent1"/>
        </w:rPr>
      </w:pPr>
      <w:r>
        <w:rPr>
          <w:rFonts w:ascii="TimesNewRomanPSMT" w:hAnsi="TimesNewRomanPSMT"/>
          <w:color w:val="000000"/>
          <w:szCs w:val="24"/>
        </w:rPr>
        <w:lastRenderedPageBreak/>
        <w:t xml:space="preserve">Kröfuflokkur efnis skal vera </w:t>
      </w:r>
      <w:r w:rsidRPr="009D3371">
        <w:rPr>
          <w:i/>
          <w:color w:val="5B9BD5" w:themeColor="accent1"/>
        </w:rPr>
        <w:t>[</w:t>
      </w:r>
      <w:r>
        <w:rPr>
          <w:i/>
          <w:color w:val="5B9BD5" w:themeColor="accent1"/>
        </w:rPr>
        <w:t>flokkur, G</w:t>
      </w:r>
      <w:r w:rsidRPr="008B498D">
        <w:rPr>
          <w:i/>
          <w:color w:val="5B9BD5" w:themeColor="accent1"/>
          <w:vertAlign w:val="subscript"/>
        </w:rPr>
        <w:t>B</w:t>
      </w:r>
      <w:r>
        <w:rPr>
          <w:i/>
          <w:color w:val="5B9BD5" w:themeColor="accent1"/>
        </w:rPr>
        <w:t xml:space="preserve"> eða G</w:t>
      </w:r>
      <w:r w:rsidRPr="008B498D">
        <w:rPr>
          <w:i/>
          <w:color w:val="5B9BD5" w:themeColor="accent1"/>
          <w:vertAlign w:val="subscript"/>
        </w:rPr>
        <w:t>p</w:t>
      </w:r>
      <w:r w:rsidRPr="009D3371">
        <w:rPr>
          <w:i/>
          <w:color w:val="5B9BD5" w:themeColor="accent1"/>
        </w:rPr>
        <w:t>]</w:t>
      </w:r>
    </w:p>
    <w:p w14:paraId="5B98AF5A" w14:textId="77777777" w:rsidR="00E07034" w:rsidRPr="009D3371" w:rsidRDefault="00E07034" w:rsidP="00E07034">
      <w:pPr>
        <w:pStyle w:val="NoSpacing"/>
        <w:rPr>
          <w:i/>
          <w:color w:val="5B9BD5" w:themeColor="accent1"/>
        </w:rPr>
      </w:pPr>
      <w:r>
        <w:t xml:space="preserve">Brothlutfall </w:t>
      </w:r>
      <w:r w:rsidRPr="009D3371">
        <w:rPr>
          <w:i/>
          <w:color w:val="5B9BD5" w:themeColor="accent1"/>
        </w:rPr>
        <w:t>[gildi]</w:t>
      </w:r>
    </w:p>
    <w:p w14:paraId="034454E0" w14:textId="77777777" w:rsidR="00D86ED7" w:rsidRPr="00300AD1" w:rsidRDefault="00D86ED7" w:rsidP="00D86ED7">
      <w:pPr>
        <w:pStyle w:val="NoSpacing"/>
      </w:pPr>
      <w:r w:rsidRPr="00300AD1">
        <w:t xml:space="preserve">Kornalögun </w:t>
      </w:r>
      <w:r w:rsidRPr="00300AD1">
        <w:rPr>
          <w:i/>
          <w:color w:val="5B9BD5" w:themeColor="accent1"/>
        </w:rPr>
        <w:t>[gildi]</w:t>
      </w:r>
    </w:p>
    <w:p w14:paraId="200850C1" w14:textId="16BF16A6" w:rsidR="00CE3948" w:rsidRDefault="00D86ED7" w:rsidP="00E15C05">
      <w:pPr>
        <w:pStyle w:val="NoSpacing"/>
        <w:jc w:val="both"/>
      </w:pPr>
      <w:r w:rsidRPr="00E15C05">
        <w:t xml:space="preserve">Markalínur malarslitlags má sjá á eftirfarandi sáldurferlum </w:t>
      </w:r>
      <w:r w:rsidR="00CE3948" w:rsidRPr="00E15C05">
        <w:rPr>
          <w:i/>
          <w:color w:val="5B9BD5" w:themeColor="accent1"/>
        </w:rPr>
        <w:t>[mynd: annað hvort fyrir malað set eða malað berg]</w:t>
      </w:r>
    </w:p>
    <w:p w14:paraId="095092C4" w14:textId="4D7B28F6" w:rsidR="00D86ED7" w:rsidRPr="00300AD1" w:rsidRDefault="00E15C05" w:rsidP="00E15C05">
      <w:pPr>
        <w:pStyle w:val="NoSpacing"/>
        <w:ind w:hanging="851"/>
        <w:jc w:val="both"/>
      </w:pPr>
      <w:r>
        <w:rPr>
          <w:b/>
        </w:rPr>
        <w:tab/>
      </w:r>
      <w:r>
        <w:rPr>
          <w:b/>
        </w:rPr>
        <w:tab/>
      </w:r>
      <w:r w:rsidR="00D86ED7" w:rsidRPr="00300AD1">
        <w:rPr>
          <w:b/>
        </w:rPr>
        <w:t>d)</w:t>
      </w:r>
      <w:r w:rsidR="00D86ED7" w:rsidRPr="00300AD1">
        <w:tab/>
      </w:r>
      <w:r w:rsidRPr="00E15C05">
        <w:t>Lágmarkstíðni prófana á steinefnum sé samkvæmt töflu</w:t>
      </w:r>
      <w:r w:rsidRPr="00E15C05">
        <w:rPr>
          <w:i/>
        </w:rPr>
        <w:t xml:space="preserve"> </w:t>
      </w:r>
      <w:r w:rsidRPr="00E15C05">
        <w:rPr>
          <w:rFonts w:eastAsia="Times New Roman" w:cs="Times New Roman"/>
          <w:i/>
          <w:color w:val="000000"/>
          <w:szCs w:val="24"/>
          <w:lang w:eastAsia="en-GB"/>
        </w:rPr>
        <w:t>próf á steinefnum og lágmarkstíðni prófana</w:t>
      </w:r>
      <w:r w:rsidRPr="00E15C05">
        <w:t xml:space="preserve"> í almennri lýsingu.</w:t>
      </w:r>
    </w:p>
    <w:p w14:paraId="731B31CE" w14:textId="77777777" w:rsidR="00D86ED7" w:rsidRPr="00300AD1" w:rsidRDefault="00D86ED7" w:rsidP="00E15C05">
      <w:pPr>
        <w:pStyle w:val="NoSpacing"/>
        <w:rPr>
          <w:b/>
          <w:noProof/>
        </w:rPr>
      </w:pPr>
      <w:r w:rsidRPr="00300AD1">
        <w:rPr>
          <w:b/>
        </w:rPr>
        <w:t>f)</w:t>
      </w:r>
      <w:r w:rsidRPr="00300AD1">
        <w:tab/>
        <w:t>Uppgjör miðast við unnið efni mælt í haug.</w:t>
      </w:r>
    </w:p>
    <w:p w14:paraId="7552AC69" w14:textId="77777777" w:rsidR="00D86ED7" w:rsidRDefault="00D86ED7" w:rsidP="00E15C05">
      <w:pPr>
        <w:pStyle w:val="NoSpacing"/>
        <w:rPr>
          <w:vertAlign w:val="superscript"/>
        </w:rPr>
      </w:pPr>
      <w:r w:rsidRPr="00300AD1">
        <w:t>Mælieining: m</w:t>
      </w:r>
      <w:r w:rsidRPr="00300AD1">
        <w:rPr>
          <w:vertAlign w:val="superscript"/>
        </w:rPr>
        <w:t>3</w:t>
      </w:r>
    </w:p>
    <w:p w14:paraId="1BF2E7E4" w14:textId="77777777" w:rsidR="005E7612" w:rsidRDefault="005E7612" w:rsidP="006D07F4">
      <w:pPr>
        <w:ind w:left="0"/>
      </w:pPr>
    </w:p>
    <w:p w14:paraId="4D70D7BF" w14:textId="767EE84A" w:rsidR="0068755D" w:rsidRPr="00BE674B" w:rsidRDefault="0068755D" w:rsidP="0068755D">
      <w:pPr>
        <w:pStyle w:val="Kaflafyrirsagnir"/>
      </w:pPr>
      <w:bookmarkStart w:id="7" w:name="_Toc531341132"/>
      <w:bookmarkStart w:id="8" w:name="_Toc21612165"/>
      <w:r>
        <w:t>6</w:t>
      </w:r>
      <w:r w:rsidR="004E256A">
        <w:t>1</w:t>
      </w:r>
      <w:r>
        <w:t>.</w:t>
      </w:r>
      <w:r w:rsidR="001F6952">
        <w:t>1</w:t>
      </w:r>
      <w:r>
        <w:t>2</w:t>
      </w:r>
      <w:r w:rsidR="00A71ABD">
        <w:t>1</w:t>
      </w:r>
      <w:r w:rsidR="00DA2A30">
        <w:t>2</w:t>
      </w:r>
      <w:r>
        <w:t xml:space="preserve"> Mölun efnis í malarslitlag,</w:t>
      </w:r>
      <w:r w:rsidRPr="00574BE9">
        <w:t xml:space="preserve"> </w:t>
      </w:r>
      <w:r>
        <w:t>0/16 mm</w:t>
      </w:r>
      <w:bookmarkEnd w:id="7"/>
      <w:bookmarkEnd w:id="8"/>
    </w:p>
    <w:p w14:paraId="7F08EDF8" w14:textId="5A2F479A" w:rsidR="00384333" w:rsidRPr="00BE674B" w:rsidRDefault="0068755D" w:rsidP="00384333">
      <w:pPr>
        <w:pStyle w:val="NoSpacing"/>
        <w:jc w:val="both"/>
      </w:pPr>
      <w:r w:rsidRPr="00BE674B">
        <w:rPr>
          <w:b/>
        </w:rPr>
        <w:t xml:space="preserve">a) </w:t>
      </w:r>
      <w:r w:rsidRPr="00BE674B">
        <w:rPr>
          <w:b/>
        </w:rPr>
        <w:tab/>
      </w:r>
      <w:r w:rsidR="00E11A5F" w:rsidRPr="006009F8">
        <w:t>Um er að ræ</w:t>
      </w:r>
      <w:r w:rsidR="00E11A5F">
        <w:t>ða</w:t>
      </w:r>
      <w:r w:rsidR="00E11A5F" w:rsidRPr="006009F8">
        <w:t xml:space="preserve"> steinefni í </w:t>
      </w:r>
      <w:r w:rsidR="00E11A5F">
        <w:t xml:space="preserve">malarslitlag. </w:t>
      </w:r>
      <w:r w:rsidR="00384333">
        <w:t xml:space="preserve">Upplýsingar um magn og námur er að finna í </w:t>
      </w:r>
      <w:r w:rsidR="00CE3948" w:rsidRPr="007A6D03">
        <w:t xml:space="preserve">fylgiskjali </w:t>
      </w:r>
      <w:r w:rsidR="00E15C05" w:rsidRPr="00BE674B">
        <w:rPr>
          <w:i/>
          <w:color w:val="5B9BD5" w:themeColor="accent1"/>
        </w:rPr>
        <w:t>[</w:t>
      </w:r>
      <w:r w:rsidR="00E15C05">
        <w:rPr>
          <w:i/>
          <w:color w:val="5B9BD5" w:themeColor="accent1"/>
        </w:rPr>
        <w:t>nr. skjals</w:t>
      </w:r>
      <w:r w:rsidR="00E15C05" w:rsidRPr="00BE674B">
        <w:rPr>
          <w:i/>
          <w:color w:val="5B9BD5" w:themeColor="accent1"/>
        </w:rPr>
        <w:t>]</w:t>
      </w:r>
      <w:r w:rsidR="00E15C05">
        <w:rPr>
          <w:i/>
          <w:color w:val="5B9BD5" w:themeColor="accent1"/>
        </w:rPr>
        <w:t xml:space="preserve"> , </w:t>
      </w:r>
      <w:r w:rsidR="00E15C05" w:rsidRPr="00BE674B">
        <w:rPr>
          <w:i/>
          <w:color w:val="5B9BD5" w:themeColor="accent1"/>
        </w:rPr>
        <w:t>[nánari lýsing]</w:t>
      </w:r>
    </w:p>
    <w:p w14:paraId="149E3A3C" w14:textId="20FB8622" w:rsidR="00384333" w:rsidRPr="00BE674B" w:rsidRDefault="00384333" w:rsidP="00384333">
      <w:pPr>
        <w:pStyle w:val="NoSpacing"/>
        <w:rPr>
          <w:b/>
        </w:rPr>
      </w:pPr>
      <w:r w:rsidRPr="00574BE9">
        <w:rPr>
          <w:b/>
        </w:rPr>
        <w:t>b)</w:t>
      </w:r>
      <w:r w:rsidR="00DA1015">
        <w:tab/>
        <w:t>Stærðarflokkur malaðs</w:t>
      </w:r>
      <w:r w:rsidRPr="00BE674B">
        <w:t xml:space="preserve"> efnis</w:t>
      </w:r>
      <w:r>
        <w:t xml:space="preserve"> skal vera 0/16 mm.</w:t>
      </w:r>
      <w:r w:rsidRPr="00BE674B">
        <w:t xml:space="preserve"> </w:t>
      </w:r>
    </w:p>
    <w:p w14:paraId="6ADDE42F" w14:textId="7FA70E47" w:rsidR="00DA1015" w:rsidRDefault="00DA1015" w:rsidP="00DA1015">
      <w:pPr>
        <w:pStyle w:val="NoSpacing"/>
        <w:rPr>
          <w:i/>
          <w:color w:val="5B9BD5" w:themeColor="accent1"/>
        </w:rPr>
      </w:pPr>
      <w:r>
        <w:rPr>
          <w:rFonts w:ascii="TimesNewRomanPSMT" w:hAnsi="TimesNewRomanPSMT"/>
          <w:color w:val="000000"/>
          <w:szCs w:val="24"/>
        </w:rPr>
        <w:t xml:space="preserve">Kröfuflokkur efnis skal vera </w:t>
      </w:r>
      <w:r w:rsidR="005E7612" w:rsidRPr="009D3371">
        <w:rPr>
          <w:i/>
          <w:color w:val="5B9BD5" w:themeColor="accent1"/>
        </w:rPr>
        <w:t>[</w:t>
      </w:r>
      <w:r w:rsidR="008B498D">
        <w:rPr>
          <w:i/>
          <w:color w:val="5B9BD5" w:themeColor="accent1"/>
        </w:rPr>
        <w:t>flokkur, G</w:t>
      </w:r>
      <w:r w:rsidR="008B498D" w:rsidRPr="008B498D">
        <w:rPr>
          <w:i/>
          <w:color w:val="5B9BD5" w:themeColor="accent1"/>
          <w:vertAlign w:val="subscript"/>
        </w:rPr>
        <w:t>B</w:t>
      </w:r>
      <w:r w:rsidR="008B498D">
        <w:rPr>
          <w:i/>
          <w:color w:val="5B9BD5" w:themeColor="accent1"/>
        </w:rPr>
        <w:t xml:space="preserve"> eða G</w:t>
      </w:r>
      <w:r w:rsidR="008B498D" w:rsidRPr="008B498D">
        <w:rPr>
          <w:i/>
          <w:color w:val="5B9BD5" w:themeColor="accent1"/>
          <w:vertAlign w:val="subscript"/>
        </w:rPr>
        <w:t>p</w:t>
      </w:r>
      <w:r w:rsidR="005E7612" w:rsidRPr="009D3371">
        <w:rPr>
          <w:i/>
          <w:color w:val="5B9BD5" w:themeColor="accent1"/>
        </w:rPr>
        <w:t>]</w:t>
      </w:r>
    </w:p>
    <w:p w14:paraId="04AA5368" w14:textId="77777777" w:rsidR="005E7612" w:rsidRPr="009D3371" w:rsidRDefault="005E7612" w:rsidP="005E7612">
      <w:pPr>
        <w:pStyle w:val="NoSpacing"/>
        <w:rPr>
          <w:i/>
          <w:color w:val="5B9BD5" w:themeColor="accent1"/>
        </w:rPr>
      </w:pPr>
      <w:r>
        <w:t xml:space="preserve">Brothlutfall </w:t>
      </w:r>
      <w:r w:rsidRPr="009D3371">
        <w:rPr>
          <w:i/>
          <w:color w:val="5B9BD5" w:themeColor="accent1"/>
        </w:rPr>
        <w:t>[gildi]</w:t>
      </w:r>
    </w:p>
    <w:p w14:paraId="154E682B" w14:textId="77777777" w:rsidR="005E7612" w:rsidRDefault="005E7612" w:rsidP="005E7612">
      <w:pPr>
        <w:pStyle w:val="NoSpacing"/>
      </w:pPr>
      <w:r>
        <w:t xml:space="preserve">Kornalögun </w:t>
      </w:r>
      <w:r w:rsidRPr="009D3371">
        <w:rPr>
          <w:i/>
          <w:color w:val="5B9BD5" w:themeColor="accent1"/>
        </w:rPr>
        <w:t>[gildi]</w:t>
      </w:r>
    </w:p>
    <w:p w14:paraId="15130D5D" w14:textId="17C4F02E" w:rsidR="0068755D" w:rsidRPr="00E15C05" w:rsidRDefault="00D66A2D" w:rsidP="00E15C05">
      <w:pPr>
        <w:pStyle w:val="NoSpacing"/>
        <w:jc w:val="both"/>
      </w:pPr>
      <w:r w:rsidRPr="00E15C05">
        <w:t xml:space="preserve">Markalínur </w:t>
      </w:r>
      <w:r w:rsidR="00460153" w:rsidRPr="00E15C05">
        <w:t>malarslitlags</w:t>
      </w:r>
      <w:r w:rsidRPr="00E15C05">
        <w:t xml:space="preserve"> má sjá á eftirfarandi </w:t>
      </w:r>
      <w:r w:rsidR="00F11C2A" w:rsidRPr="00E15C05">
        <w:t>sáldurferlum</w:t>
      </w:r>
      <w:r w:rsidR="005E7612" w:rsidRPr="00E15C05">
        <w:t xml:space="preserve"> </w:t>
      </w:r>
      <w:r w:rsidR="005E7612" w:rsidRPr="00E15C05">
        <w:rPr>
          <w:i/>
          <w:color w:val="5B9BD5" w:themeColor="accent1"/>
        </w:rPr>
        <w:t>[mynd</w:t>
      </w:r>
      <w:r w:rsidR="00CE3948" w:rsidRPr="00E15C05">
        <w:rPr>
          <w:i/>
          <w:color w:val="5B9BD5" w:themeColor="accent1"/>
        </w:rPr>
        <w:t>: annað hvort fyrir malað set eða malað berg</w:t>
      </w:r>
      <w:r w:rsidR="005E7612" w:rsidRPr="00E15C05">
        <w:rPr>
          <w:i/>
          <w:color w:val="5B9BD5" w:themeColor="accent1"/>
        </w:rPr>
        <w:t>]</w:t>
      </w:r>
    </w:p>
    <w:p w14:paraId="213EE790" w14:textId="52567F9B" w:rsidR="00D66A2D" w:rsidRPr="00E15C05" w:rsidRDefault="00D66A2D" w:rsidP="005E7612">
      <w:pPr>
        <w:pStyle w:val="NoSpacing"/>
      </w:pPr>
      <w:r w:rsidRPr="00E15C05">
        <w:rPr>
          <w:b/>
        </w:rPr>
        <w:t>d)</w:t>
      </w:r>
      <w:r w:rsidRPr="00E15C05">
        <w:tab/>
      </w:r>
      <w:r w:rsidR="005E7612" w:rsidRPr="00E15C05">
        <w:t xml:space="preserve">Lágmarkstíðni prófana á steinefnum sé </w:t>
      </w:r>
      <w:r w:rsidR="00631C4E" w:rsidRPr="00E15C05">
        <w:t>samkvæmt töflu</w:t>
      </w:r>
      <w:r w:rsidR="00631C4E" w:rsidRPr="00E15C05">
        <w:rPr>
          <w:i/>
        </w:rPr>
        <w:t xml:space="preserve"> </w:t>
      </w:r>
      <w:r w:rsidR="00631C4E" w:rsidRPr="00E15C05">
        <w:rPr>
          <w:rFonts w:eastAsia="Times New Roman" w:cs="Times New Roman"/>
          <w:i/>
          <w:color w:val="000000"/>
          <w:szCs w:val="24"/>
          <w:lang w:eastAsia="en-GB"/>
        </w:rPr>
        <w:t>próf á steinefnum og lágmarkstíðni prófana</w:t>
      </w:r>
      <w:r w:rsidR="00631C4E" w:rsidRPr="00E15C05">
        <w:t xml:space="preserve"> </w:t>
      </w:r>
      <w:r w:rsidR="005E7612" w:rsidRPr="00E15C05">
        <w:t>í almennri lýsingu</w:t>
      </w:r>
      <w:r w:rsidRPr="00E15C05">
        <w:t>.</w:t>
      </w:r>
    </w:p>
    <w:p w14:paraId="05464034" w14:textId="77777777" w:rsidR="00D66A2D" w:rsidRPr="00BE674B" w:rsidRDefault="00D66A2D" w:rsidP="00D66A2D">
      <w:pPr>
        <w:pStyle w:val="NoSpacing"/>
        <w:rPr>
          <w:b/>
          <w:noProof/>
        </w:rPr>
      </w:pPr>
      <w:r w:rsidRPr="00E15C05">
        <w:rPr>
          <w:b/>
        </w:rPr>
        <w:t>f)</w:t>
      </w:r>
      <w:r w:rsidRPr="00E15C05">
        <w:tab/>
        <w:t>Uppgjör miðast við unnið efni mælt í haug.</w:t>
      </w:r>
    </w:p>
    <w:p w14:paraId="7319C9E7" w14:textId="77777777" w:rsidR="00D66A2D" w:rsidRDefault="00D66A2D" w:rsidP="00D66A2D">
      <w:pPr>
        <w:pStyle w:val="NoSpacing"/>
        <w:rPr>
          <w:vertAlign w:val="superscript"/>
        </w:rPr>
      </w:pPr>
      <w:r w:rsidRPr="00BE674B">
        <w:t>Mælieining: m</w:t>
      </w:r>
      <w:r>
        <w:rPr>
          <w:vertAlign w:val="superscript"/>
        </w:rPr>
        <w:t>3</w:t>
      </w:r>
    </w:p>
    <w:p w14:paraId="75D530E6" w14:textId="77777777" w:rsidR="0068755D" w:rsidRDefault="0068755D" w:rsidP="00757F6C">
      <w:pPr>
        <w:pStyle w:val="NoSpacing"/>
      </w:pPr>
    </w:p>
    <w:p w14:paraId="393E3718" w14:textId="7DA24395" w:rsidR="00AC2E1A" w:rsidRPr="00BE674B" w:rsidRDefault="00757F6C">
      <w:pPr>
        <w:pStyle w:val="Kaflafyrirsagnir"/>
      </w:pPr>
      <w:bookmarkStart w:id="9" w:name="_Toc21612166"/>
      <w:bookmarkEnd w:id="5"/>
      <w:r w:rsidRPr="00E15C05">
        <w:t>61.</w:t>
      </w:r>
      <w:r w:rsidR="001F6952">
        <w:t>1</w:t>
      </w:r>
      <w:r w:rsidR="00AB125F" w:rsidRPr="00E15C05">
        <w:t>2</w:t>
      </w:r>
      <w:r w:rsidR="00A71ABD">
        <w:t>1</w:t>
      </w:r>
      <w:r w:rsidR="00DA2A30">
        <w:t>3</w:t>
      </w:r>
      <w:r w:rsidRPr="00E15C05">
        <w:t xml:space="preserve"> </w:t>
      </w:r>
      <w:r w:rsidR="00AC2E1A" w:rsidRPr="00E15C05">
        <w:t xml:space="preserve">Hörpun efnis í malarslitlag, </w:t>
      </w:r>
      <w:r w:rsidR="00CE3948" w:rsidRPr="00E15C05">
        <w:t xml:space="preserve">0/11 mm eða </w:t>
      </w:r>
      <w:r w:rsidR="00AC2E1A" w:rsidRPr="00E15C05">
        <w:t>0/16 mm</w:t>
      </w:r>
      <w:bookmarkEnd w:id="9"/>
    </w:p>
    <w:p w14:paraId="22D46578" w14:textId="6013BCDA" w:rsidR="00AC2E1A" w:rsidRPr="00BE674B" w:rsidRDefault="00AC2E1A" w:rsidP="00AC2E1A">
      <w:pPr>
        <w:pStyle w:val="NoSpacing"/>
        <w:jc w:val="both"/>
      </w:pPr>
      <w:r w:rsidRPr="00BE674B">
        <w:rPr>
          <w:b/>
        </w:rPr>
        <w:t xml:space="preserve">a) </w:t>
      </w:r>
      <w:r w:rsidRPr="00BE674B">
        <w:rPr>
          <w:b/>
        </w:rPr>
        <w:tab/>
      </w:r>
      <w:r w:rsidR="00E11A5F" w:rsidRPr="006009F8">
        <w:t>Um er að ræ</w:t>
      </w:r>
      <w:r w:rsidR="00E11A5F">
        <w:t>ða</w:t>
      </w:r>
      <w:r w:rsidR="00E11A5F" w:rsidRPr="006009F8">
        <w:t xml:space="preserve"> steinefni í </w:t>
      </w:r>
      <w:r w:rsidR="00E11A5F">
        <w:t xml:space="preserve">malarslitlag. </w:t>
      </w:r>
      <w:r>
        <w:t xml:space="preserve">Upplýsingar um magn og námur er að finna í </w:t>
      </w:r>
      <w:r w:rsidR="00CE3948" w:rsidRPr="007A6D03">
        <w:t xml:space="preserve">fylgiskjali </w:t>
      </w:r>
      <w:r w:rsidR="00E15C05" w:rsidRPr="00BE674B">
        <w:rPr>
          <w:i/>
          <w:color w:val="5B9BD5" w:themeColor="accent1"/>
        </w:rPr>
        <w:t>[</w:t>
      </w:r>
      <w:r w:rsidR="00E15C05">
        <w:rPr>
          <w:i/>
          <w:color w:val="5B9BD5" w:themeColor="accent1"/>
        </w:rPr>
        <w:t>nr. skjals</w:t>
      </w:r>
      <w:r w:rsidR="00E15C05" w:rsidRPr="00BE674B">
        <w:rPr>
          <w:i/>
          <w:color w:val="5B9BD5" w:themeColor="accent1"/>
        </w:rPr>
        <w:t>]</w:t>
      </w:r>
      <w:r w:rsidR="00E15C05">
        <w:rPr>
          <w:i/>
          <w:color w:val="5B9BD5" w:themeColor="accent1"/>
        </w:rPr>
        <w:t xml:space="preserve"> , </w:t>
      </w:r>
      <w:r w:rsidR="00E15C05" w:rsidRPr="00BE674B">
        <w:rPr>
          <w:i/>
          <w:color w:val="5B9BD5" w:themeColor="accent1"/>
        </w:rPr>
        <w:t>[nánari lýsing]</w:t>
      </w:r>
    </w:p>
    <w:p w14:paraId="49456697" w14:textId="3BF77B0B" w:rsidR="00AC2E1A" w:rsidRPr="00BE674B" w:rsidRDefault="00AC2E1A" w:rsidP="00AC2E1A">
      <w:pPr>
        <w:pStyle w:val="NoSpacing"/>
        <w:rPr>
          <w:b/>
        </w:rPr>
      </w:pPr>
      <w:r w:rsidRPr="00E15C05">
        <w:rPr>
          <w:b/>
        </w:rPr>
        <w:t>b)</w:t>
      </w:r>
      <w:r w:rsidRPr="00E15C05">
        <w:tab/>
        <w:t xml:space="preserve">Stærðarflokkur flokkaðs efnis skal vera </w:t>
      </w:r>
      <w:r w:rsidR="00CE3948" w:rsidRPr="00E15C05">
        <w:t xml:space="preserve">0/11 eða </w:t>
      </w:r>
      <w:r w:rsidRPr="00E15C05">
        <w:t>0/16 mm.</w:t>
      </w:r>
      <w:r w:rsidRPr="00BE674B">
        <w:t xml:space="preserve"> </w:t>
      </w:r>
    </w:p>
    <w:p w14:paraId="067D78F7" w14:textId="74C655EC" w:rsidR="00AC2E1A" w:rsidRDefault="00AC2E1A" w:rsidP="00AC2E1A">
      <w:pPr>
        <w:pStyle w:val="NoSpacing"/>
        <w:rPr>
          <w:i/>
          <w:color w:val="5B9BD5" w:themeColor="accent1"/>
        </w:rPr>
      </w:pPr>
      <w:r>
        <w:rPr>
          <w:rFonts w:ascii="TimesNewRomanPSMT" w:hAnsi="TimesNewRomanPSMT"/>
          <w:color w:val="000000"/>
          <w:szCs w:val="24"/>
        </w:rPr>
        <w:t xml:space="preserve">Kröfuflokkur efnis skal vera </w:t>
      </w:r>
      <w:r w:rsidR="005E7612" w:rsidRPr="00BE674B">
        <w:rPr>
          <w:i/>
          <w:color w:val="5B9BD5" w:themeColor="accent1"/>
        </w:rPr>
        <w:t>[</w:t>
      </w:r>
      <w:r w:rsidR="005E7612">
        <w:rPr>
          <w:i/>
          <w:color w:val="5B9BD5" w:themeColor="accent1"/>
        </w:rPr>
        <w:t>flokkur</w:t>
      </w:r>
      <w:r w:rsidR="008B498D">
        <w:rPr>
          <w:i/>
          <w:color w:val="5B9BD5" w:themeColor="accent1"/>
        </w:rPr>
        <w:t>, G</w:t>
      </w:r>
      <w:r w:rsidR="008B498D" w:rsidRPr="008B498D">
        <w:rPr>
          <w:i/>
          <w:color w:val="5B9BD5" w:themeColor="accent1"/>
          <w:vertAlign w:val="subscript"/>
        </w:rPr>
        <w:t>B</w:t>
      </w:r>
      <w:r w:rsidR="008B498D">
        <w:rPr>
          <w:i/>
          <w:color w:val="5B9BD5" w:themeColor="accent1"/>
        </w:rPr>
        <w:t xml:space="preserve"> eða G</w:t>
      </w:r>
      <w:r w:rsidR="008B498D" w:rsidRPr="008B498D">
        <w:rPr>
          <w:i/>
          <w:color w:val="5B9BD5" w:themeColor="accent1"/>
          <w:vertAlign w:val="subscript"/>
        </w:rPr>
        <w:t>p</w:t>
      </w:r>
      <w:r w:rsidR="005E7612" w:rsidRPr="00BE674B">
        <w:rPr>
          <w:i/>
          <w:color w:val="5B9BD5" w:themeColor="accent1"/>
        </w:rPr>
        <w:t>]</w:t>
      </w:r>
    </w:p>
    <w:p w14:paraId="7ED4BE80" w14:textId="77777777" w:rsidR="005E7612" w:rsidRPr="009D3371" w:rsidRDefault="005E7612" w:rsidP="005E7612">
      <w:pPr>
        <w:pStyle w:val="NoSpacing"/>
        <w:rPr>
          <w:i/>
          <w:color w:val="5B9BD5" w:themeColor="accent1"/>
        </w:rPr>
      </w:pPr>
      <w:r>
        <w:t xml:space="preserve">Brothlutfall </w:t>
      </w:r>
      <w:r w:rsidRPr="009D3371">
        <w:rPr>
          <w:i/>
          <w:color w:val="5B9BD5" w:themeColor="accent1"/>
        </w:rPr>
        <w:t>[gildi]</w:t>
      </w:r>
    </w:p>
    <w:p w14:paraId="429D2711" w14:textId="77777777" w:rsidR="005E7612" w:rsidRDefault="005E7612" w:rsidP="005E7612">
      <w:pPr>
        <w:pStyle w:val="NoSpacing"/>
      </w:pPr>
      <w:r>
        <w:t xml:space="preserve">Kornalögun </w:t>
      </w:r>
      <w:r w:rsidRPr="009D3371">
        <w:rPr>
          <w:i/>
          <w:color w:val="5B9BD5" w:themeColor="accent1"/>
        </w:rPr>
        <w:t>[gildi]</w:t>
      </w:r>
    </w:p>
    <w:p w14:paraId="1696417F" w14:textId="258BF018" w:rsidR="00AC2E1A" w:rsidRDefault="00AC2E1A" w:rsidP="00E15C05">
      <w:pPr>
        <w:pStyle w:val="NoSpacing"/>
        <w:ind w:hanging="851"/>
        <w:jc w:val="both"/>
      </w:pPr>
      <w:r>
        <w:rPr>
          <w:b/>
        </w:rPr>
        <w:tab/>
      </w:r>
      <w:r>
        <w:rPr>
          <w:b/>
        </w:rPr>
        <w:tab/>
      </w:r>
      <w:r w:rsidRPr="00E15C05">
        <w:t>Markalínur malarslitlags má sjá á eftirfarandi sáldurferli</w:t>
      </w:r>
      <w:r w:rsidR="005E7612" w:rsidRPr="00E15C05">
        <w:t xml:space="preserve"> </w:t>
      </w:r>
      <w:r w:rsidR="00CE3948" w:rsidRPr="00E15C05">
        <w:rPr>
          <w:i/>
          <w:color w:val="5B9BD5" w:themeColor="accent1"/>
        </w:rPr>
        <w:t>[mynd: annað hvort fyrir malað set eða malað berg]</w:t>
      </w:r>
    </w:p>
    <w:p w14:paraId="486157CC" w14:textId="57C2006F" w:rsidR="00AC2E1A" w:rsidRPr="006009F8" w:rsidRDefault="00AC2E1A" w:rsidP="005E7612">
      <w:pPr>
        <w:pStyle w:val="NoSpacing"/>
      </w:pPr>
      <w:r w:rsidRPr="00E15C05">
        <w:rPr>
          <w:b/>
        </w:rPr>
        <w:t>d)</w:t>
      </w:r>
      <w:r w:rsidRPr="00E15C05">
        <w:tab/>
      </w:r>
      <w:r w:rsidR="005E7612" w:rsidRPr="00E15C05">
        <w:t xml:space="preserve">Lágmarkstíðni prófana á steinefnum sé samkvæmt töflu </w:t>
      </w:r>
      <w:r w:rsidR="002965C6" w:rsidRPr="00E15C05">
        <w:rPr>
          <w:rFonts w:eastAsia="Times New Roman" w:cs="Times New Roman"/>
          <w:i/>
          <w:color w:val="000000"/>
          <w:szCs w:val="24"/>
          <w:lang w:eastAsia="en-GB"/>
        </w:rPr>
        <w:t>próf á steinefnum og lágmarkstíðni prófana</w:t>
      </w:r>
      <w:r w:rsidR="002965C6" w:rsidRPr="00E15C05">
        <w:t xml:space="preserve"> í</w:t>
      </w:r>
      <w:r w:rsidR="005E7612" w:rsidRPr="00E15C05">
        <w:t xml:space="preserve"> almennri lýsingu</w:t>
      </w:r>
      <w:r w:rsidRPr="00E15C05">
        <w:t>.</w:t>
      </w:r>
    </w:p>
    <w:p w14:paraId="59720539" w14:textId="77777777" w:rsidR="00AC2E1A" w:rsidRPr="00BE674B" w:rsidRDefault="00AC2E1A" w:rsidP="00AC2E1A">
      <w:pPr>
        <w:pStyle w:val="NoSpacing"/>
        <w:rPr>
          <w:b/>
          <w:noProof/>
        </w:rPr>
      </w:pPr>
      <w:r w:rsidRPr="00574BE9">
        <w:rPr>
          <w:b/>
        </w:rPr>
        <w:t>f)</w:t>
      </w:r>
      <w:r w:rsidRPr="00BE674B">
        <w:tab/>
      </w:r>
      <w:r w:rsidRPr="006009F8">
        <w:t xml:space="preserve">Uppgjör miðast við </w:t>
      </w:r>
      <w:r>
        <w:t>unnið efni mælt í haug</w:t>
      </w:r>
      <w:r w:rsidRPr="006009F8">
        <w:t>.</w:t>
      </w:r>
    </w:p>
    <w:p w14:paraId="063F4CED" w14:textId="77777777" w:rsidR="00AC2E1A" w:rsidRDefault="00AC2E1A" w:rsidP="00AC2E1A">
      <w:pPr>
        <w:pStyle w:val="NoSpacing"/>
        <w:rPr>
          <w:vertAlign w:val="superscript"/>
        </w:rPr>
      </w:pPr>
      <w:r w:rsidRPr="00BE674B">
        <w:t>Mælieining: m</w:t>
      </w:r>
      <w:r>
        <w:rPr>
          <w:vertAlign w:val="superscript"/>
        </w:rPr>
        <w:t>3</w:t>
      </w:r>
    </w:p>
    <w:p w14:paraId="3EEE2A13" w14:textId="75737C79" w:rsidR="00426643" w:rsidRPr="007A6D03" w:rsidRDefault="008C4AA3" w:rsidP="00DB0D82">
      <w:pPr>
        <w:pStyle w:val="Kaflafyrirsagnir"/>
      </w:pPr>
      <w:bookmarkStart w:id="10" w:name="_Toc21612167"/>
      <w:r w:rsidRPr="007A6D03">
        <w:lastRenderedPageBreak/>
        <w:t>61.</w:t>
      </w:r>
      <w:r w:rsidR="0095425E">
        <w:t>1</w:t>
      </w:r>
      <w:r w:rsidRPr="007A6D03">
        <w:t>2</w:t>
      </w:r>
      <w:r w:rsidR="00A71ABD">
        <w:t>1</w:t>
      </w:r>
      <w:r w:rsidR="009B7015">
        <w:t>7</w:t>
      </w:r>
      <w:r w:rsidR="00426643" w:rsidRPr="007A6D03">
        <w:t xml:space="preserve"> Flutningur á efni til íblöndunar</w:t>
      </w:r>
      <w:bookmarkEnd w:id="10"/>
    </w:p>
    <w:p w14:paraId="6FE028E9" w14:textId="30E1741F" w:rsidR="008D2040" w:rsidRPr="007A6D03" w:rsidRDefault="00426643" w:rsidP="008D2040">
      <w:pPr>
        <w:pStyle w:val="NoSpacing"/>
        <w:jc w:val="both"/>
        <w:rPr>
          <w:b/>
        </w:rPr>
      </w:pPr>
      <w:r w:rsidRPr="00E15C05">
        <w:rPr>
          <w:b/>
        </w:rPr>
        <w:t>a</w:t>
      </w:r>
      <w:r w:rsidRPr="00E15C05">
        <w:t xml:space="preserve">)  </w:t>
      </w:r>
      <w:r w:rsidR="008D2040" w:rsidRPr="00E15C05">
        <w:t>F</w:t>
      </w:r>
      <w:r w:rsidRPr="00E15C05">
        <w:t>lutning</w:t>
      </w:r>
      <w:r w:rsidR="008D2040" w:rsidRPr="00E15C05">
        <w:t>ur</w:t>
      </w:r>
      <w:r w:rsidRPr="00E15C05">
        <w:t xml:space="preserve"> á </w:t>
      </w:r>
      <w:r w:rsidR="00710E94" w:rsidRPr="00E15C05">
        <w:t>leir</w:t>
      </w:r>
      <w:r w:rsidR="002965C6" w:rsidRPr="00E15C05">
        <w:t xml:space="preserve"> eða möl</w:t>
      </w:r>
      <w:r w:rsidRPr="00E15C05">
        <w:t xml:space="preserve"> </w:t>
      </w:r>
      <w:r w:rsidR="008D2040" w:rsidRPr="00E15C05">
        <w:t xml:space="preserve">þar með talinn ámokstur og losun </w:t>
      </w:r>
      <w:r w:rsidRPr="00E15C05">
        <w:t xml:space="preserve">frá </w:t>
      </w:r>
      <w:r w:rsidR="00F17E8C" w:rsidRPr="00E15C05">
        <w:t>leirnámu</w:t>
      </w:r>
      <w:r w:rsidR="002965C6" w:rsidRPr="00E15C05">
        <w:t>/malarnámu</w:t>
      </w:r>
      <w:r w:rsidR="008D2040" w:rsidRPr="00E15C05">
        <w:t xml:space="preserve"> til v</w:t>
      </w:r>
      <w:r w:rsidR="00F17E8C" w:rsidRPr="00E15C05">
        <w:t>innslunámu</w:t>
      </w:r>
      <w:r w:rsidRPr="00E15C05">
        <w:t>. Frágangur  á leirnámu</w:t>
      </w:r>
      <w:r w:rsidR="002965C6" w:rsidRPr="00E15C05">
        <w:t>/malarnámu</w:t>
      </w:r>
      <w:r w:rsidRPr="00E15C05">
        <w:t xml:space="preserve"> í verklok skal vera í samráði við eftirlit. </w:t>
      </w:r>
      <w:r w:rsidR="008D2040" w:rsidRPr="00E15C05">
        <w:t xml:space="preserve">Upplýsingar um </w:t>
      </w:r>
      <w:r w:rsidR="002965C6" w:rsidRPr="00E15C05">
        <w:t>námur</w:t>
      </w:r>
      <w:r w:rsidR="00AF45BF" w:rsidRPr="00E15C05">
        <w:t xml:space="preserve">, </w:t>
      </w:r>
      <w:r w:rsidR="008D2040" w:rsidRPr="00E15C05">
        <w:t xml:space="preserve">magn, fjarlægð og </w:t>
      </w:r>
      <w:r w:rsidR="00AF45BF" w:rsidRPr="00E15C05">
        <w:t>vinnslunámu</w:t>
      </w:r>
      <w:r w:rsidR="008D2040" w:rsidRPr="00E15C05">
        <w:t xml:space="preserve"> er að finna í fylgiskjali </w:t>
      </w:r>
      <w:r w:rsidR="00E15C05" w:rsidRPr="00BE674B">
        <w:rPr>
          <w:i/>
          <w:color w:val="5B9BD5" w:themeColor="accent1"/>
        </w:rPr>
        <w:t>[</w:t>
      </w:r>
      <w:r w:rsidR="00E15C05">
        <w:rPr>
          <w:i/>
          <w:color w:val="5B9BD5" w:themeColor="accent1"/>
        </w:rPr>
        <w:t>nr. skjals</w:t>
      </w:r>
      <w:r w:rsidR="00E15C05" w:rsidRPr="00BE674B">
        <w:rPr>
          <w:i/>
          <w:color w:val="5B9BD5" w:themeColor="accent1"/>
        </w:rPr>
        <w:t>]</w:t>
      </w:r>
    </w:p>
    <w:p w14:paraId="6B288517" w14:textId="37FEA14E" w:rsidR="00F17E8C" w:rsidRPr="007A6D03" w:rsidRDefault="00F17E8C" w:rsidP="00F17E8C">
      <w:pPr>
        <w:pStyle w:val="NoSpacing"/>
        <w:jc w:val="both"/>
        <w:rPr>
          <w:b/>
          <w:noProof/>
        </w:rPr>
      </w:pPr>
      <w:r w:rsidRPr="007A6D03">
        <w:rPr>
          <w:b/>
        </w:rPr>
        <w:t>f</w:t>
      </w:r>
      <w:r w:rsidRPr="007A6D03">
        <w:t xml:space="preserve">) </w:t>
      </w:r>
      <w:r w:rsidRPr="007A6D03">
        <w:tab/>
        <w:t xml:space="preserve">Uppgjör miðast við fluttu magni í rúmmetrum. </w:t>
      </w:r>
    </w:p>
    <w:p w14:paraId="6CE95DA9" w14:textId="45F05A2E" w:rsidR="00757F6C" w:rsidRDefault="00F17E8C" w:rsidP="005E7612">
      <w:pPr>
        <w:pStyle w:val="NoSpacing"/>
      </w:pPr>
      <w:r w:rsidRPr="007A6D03">
        <w:t>Mælieining: m</w:t>
      </w:r>
      <w:r w:rsidRPr="007A6D03">
        <w:rPr>
          <w:vertAlign w:val="superscript"/>
        </w:rPr>
        <w:t>3</w:t>
      </w:r>
      <w:r w:rsidRPr="007A6D03">
        <w:t>.</w:t>
      </w:r>
    </w:p>
    <w:p w14:paraId="49BA86AE" w14:textId="77777777" w:rsidR="00492290" w:rsidRDefault="00492290" w:rsidP="005E7612">
      <w:pPr>
        <w:pStyle w:val="NoSpacing"/>
      </w:pPr>
    </w:p>
    <w:sectPr w:rsidR="00492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9AD0" w14:textId="77777777" w:rsidR="00B03237" w:rsidRDefault="00B03237" w:rsidP="00B26E0A">
      <w:pPr>
        <w:spacing w:before="0" w:after="0"/>
      </w:pPr>
      <w:r>
        <w:separator/>
      </w:r>
    </w:p>
  </w:endnote>
  <w:endnote w:type="continuationSeparator" w:id="0">
    <w:p w14:paraId="0BFAA5F0" w14:textId="77777777" w:rsidR="00B03237" w:rsidRDefault="00B03237" w:rsidP="00B26E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8B83" w14:textId="77777777" w:rsidR="002B758E" w:rsidRDefault="002B7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793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4AC15" w14:textId="77777777" w:rsidR="00B26E0A" w:rsidRDefault="00B26E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2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6A7E05" w14:textId="77777777" w:rsidR="00B26E0A" w:rsidRDefault="00B26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64DB" w14:textId="77777777" w:rsidR="002B758E" w:rsidRDefault="002B7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3E57" w14:textId="77777777" w:rsidR="00B03237" w:rsidRDefault="00B03237" w:rsidP="00B26E0A">
      <w:pPr>
        <w:spacing w:before="0" w:after="0"/>
      </w:pPr>
      <w:r>
        <w:separator/>
      </w:r>
    </w:p>
  </w:footnote>
  <w:footnote w:type="continuationSeparator" w:id="0">
    <w:p w14:paraId="2ED6F64E" w14:textId="77777777" w:rsidR="00B03237" w:rsidRDefault="00B03237" w:rsidP="00B26E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6527" w14:textId="77777777" w:rsidR="002B758E" w:rsidRDefault="002B7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0C58" w14:textId="0F409F55" w:rsidR="00B26E0A" w:rsidRDefault="00B26E0A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BB4323">
      <w:t>08</w:t>
    </w:r>
    <w:r>
      <w:t>.</w:t>
    </w:r>
    <w:r w:rsidR="00BB4323">
      <w:t>01</w:t>
    </w:r>
    <w:r>
      <w:t>.20</w:t>
    </w:r>
    <w:r w:rsidR="00BB4323">
      <w:t>20</w:t>
    </w:r>
  </w:p>
  <w:p w14:paraId="7C46F7F9" w14:textId="3210387A" w:rsidR="002B758E" w:rsidRDefault="002B758E" w:rsidP="002B758E">
    <w:pPr>
      <w:pStyle w:val="Header"/>
      <w:jc w:val="center"/>
    </w:pPr>
    <w:r>
      <w:t>SNI-3401</w:t>
    </w:r>
    <w:r>
      <w:t>, 61b</w:t>
    </w:r>
  </w:p>
  <w:p w14:paraId="253F475C" w14:textId="77777777" w:rsidR="002B758E" w:rsidRDefault="002B7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27F7" w14:textId="77777777" w:rsidR="002B758E" w:rsidRDefault="002B7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6486"/>
    <w:multiLevelType w:val="hybridMultilevel"/>
    <w:tmpl w:val="DD581DA6"/>
    <w:lvl w:ilvl="0" w:tplc="0E703662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1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67"/>
    <w:rsid w:val="00040939"/>
    <w:rsid w:val="00047C59"/>
    <w:rsid w:val="0005495A"/>
    <w:rsid w:val="00057A3A"/>
    <w:rsid w:val="0015486B"/>
    <w:rsid w:val="001B1C49"/>
    <w:rsid w:val="001C3543"/>
    <w:rsid w:val="001D7429"/>
    <w:rsid w:val="001F03A2"/>
    <w:rsid w:val="001F6952"/>
    <w:rsid w:val="0022494B"/>
    <w:rsid w:val="00235B0B"/>
    <w:rsid w:val="00237B56"/>
    <w:rsid w:val="002965C6"/>
    <w:rsid w:val="002B758E"/>
    <w:rsid w:val="002B79A4"/>
    <w:rsid w:val="002C2DAB"/>
    <w:rsid w:val="002E15D6"/>
    <w:rsid w:val="00300AD1"/>
    <w:rsid w:val="00324392"/>
    <w:rsid w:val="00327C86"/>
    <w:rsid w:val="00376414"/>
    <w:rsid w:val="00384333"/>
    <w:rsid w:val="00385B68"/>
    <w:rsid w:val="00394535"/>
    <w:rsid w:val="003F4C16"/>
    <w:rsid w:val="0040365F"/>
    <w:rsid w:val="004056AC"/>
    <w:rsid w:val="004078B0"/>
    <w:rsid w:val="004238D9"/>
    <w:rsid w:val="00426643"/>
    <w:rsid w:val="00435AFC"/>
    <w:rsid w:val="00460153"/>
    <w:rsid w:val="00492290"/>
    <w:rsid w:val="004A3372"/>
    <w:rsid w:val="004A5EED"/>
    <w:rsid w:val="004D4325"/>
    <w:rsid w:val="004E256A"/>
    <w:rsid w:val="004E5E07"/>
    <w:rsid w:val="004F42D6"/>
    <w:rsid w:val="00515FEE"/>
    <w:rsid w:val="005E7612"/>
    <w:rsid w:val="006122AB"/>
    <w:rsid w:val="00625BF3"/>
    <w:rsid w:val="00631C4E"/>
    <w:rsid w:val="00651F03"/>
    <w:rsid w:val="0065596D"/>
    <w:rsid w:val="0068755D"/>
    <w:rsid w:val="006B0AC8"/>
    <w:rsid w:val="006D07F4"/>
    <w:rsid w:val="006E620F"/>
    <w:rsid w:val="00702E55"/>
    <w:rsid w:val="00710E94"/>
    <w:rsid w:val="00757F6C"/>
    <w:rsid w:val="007615AB"/>
    <w:rsid w:val="007901FB"/>
    <w:rsid w:val="007A6D03"/>
    <w:rsid w:val="00806A26"/>
    <w:rsid w:val="008411E6"/>
    <w:rsid w:val="008B498D"/>
    <w:rsid w:val="008C4AA3"/>
    <w:rsid w:val="008D2040"/>
    <w:rsid w:val="008F3FFE"/>
    <w:rsid w:val="00925618"/>
    <w:rsid w:val="0095425E"/>
    <w:rsid w:val="00965920"/>
    <w:rsid w:val="009A7413"/>
    <w:rsid w:val="009B30DA"/>
    <w:rsid w:val="009B7015"/>
    <w:rsid w:val="009C555A"/>
    <w:rsid w:val="009D137A"/>
    <w:rsid w:val="009F5565"/>
    <w:rsid w:val="00A00804"/>
    <w:rsid w:val="00A07585"/>
    <w:rsid w:val="00A2714C"/>
    <w:rsid w:val="00A45400"/>
    <w:rsid w:val="00A55E6B"/>
    <w:rsid w:val="00A71ABD"/>
    <w:rsid w:val="00A94240"/>
    <w:rsid w:val="00AB125F"/>
    <w:rsid w:val="00AC2E1A"/>
    <w:rsid w:val="00AC72F9"/>
    <w:rsid w:val="00AF45BF"/>
    <w:rsid w:val="00B03237"/>
    <w:rsid w:val="00B25E74"/>
    <w:rsid w:val="00B26E0A"/>
    <w:rsid w:val="00B542EA"/>
    <w:rsid w:val="00B9646B"/>
    <w:rsid w:val="00BB4323"/>
    <w:rsid w:val="00BD0267"/>
    <w:rsid w:val="00BD10AA"/>
    <w:rsid w:val="00BF6077"/>
    <w:rsid w:val="00C33813"/>
    <w:rsid w:val="00C573C2"/>
    <w:rsid w:val="00C860BD"/>
    <w:rsid w:val="00C863DF"/>
    <w:rsid w:val="00CD18EF"/>
    <w:rsid w:val="00CE3948"/>
    <w:rsid w:val="00CE74F8"/>
    <w:rsid w:val="00D36021"/>
    <w:rsid w:val="00D45394"/>
    <w:rsid w:val="00D66A2D"/>
    <w:rsid w:val="00D86029"/>
    <w:rsid w:val="00D86ED7"/>
    <w:rsid w:val="00DA1015"/>
    <w:rsid w:val="00DA2A30"/>
    <w:rsid w:val="00DB0D0F"/>
    <w:rsid w:val="00DB0D82"/>
    <w:rsid w:val="00DE2B3B"/>
    <w:rsid w:val="00DF1A7E"/>
    <w:rsid w:val="00E01608"/>
    <w:rsid w:val="00E016BC"/>
    <w:rsid w:val="00E0637F"/>
    <w:rsid w:val="00E07034"/>
    <w:rsid w:val="00E11A5F"/>
    <w:rsid w:val="00E15C05"/>
    <w:rsid w:val="00E515F4"/>
    <w:rsid w:val="00E858A4"/>
    <w:rsid w:val="00EC3BFE"/>
    <w:rsid w:val="00EC59B0"/>
    <w:rsid w:val="00EE4F18"/>
    <w:rsid w:val="00EF337F"/>
    <w:rsid w:val="00F11C2A"/>
    <w:rsid w:val="00F12CC6"/>
    <w:rsid w:val="00F17E8C"/>
    <w:rsid w:val="00F30F25"/>
    <w:rsid w:val="00F46EF9"/>
    <w:rsid w:val="00F71530"/>
    <w:rsid w:val="00FC21A1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FE36"/>
  <w15:chartTrackingRefBased/>
  <w15:docId w15:val="{AB1EFC1A-9999-4B17-8EFB-17D13C02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9D137A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3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fyrirsagnir">
    <w:name w:val="Lið-fyrirsagnir"/>
    <w:basedOn w:val="Heading5"/>
    <w:next w:val="Normal"/>
    <w:link w:val="Li-fyrirsagnirChar"/>
    <w:qFormat/>
    <w:rsid w:val="009D137A"/>
    <w:pPr>
      <w:keepNext w:val="0"/>
      <w:keepLines w:val="0"/>
      <w:tabs>
        <w:tab w:val="num" w:pos="1008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Li-fyrirsagnirChar">
    <w:name w:val="Lið-fyrirsagnir Char"/>
    <w:basedOn w:val="DefaultParagraphFont"/>
    <w:link w:val="Li-fyrirsagnir"/>
    <w:rsid w:val="009D137A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abcflokkar">
    <w:name w:val="abc flokkar"/>
    <w:basedOn w:val="Normal"/>
    <w:link w:val="abcflokkarChar"/>
    <w:rsid w:val="00BD0267"/>
    <w:pPr>
      <w:tabs>
        <w:tab w:val="left" w:pos="1701"/>
      </w:tabs>
    </w:pPr>
    <w:rPr>
      <w:rFonts w:eastAsia="Times New Roman" w:cs="Times New Roman"/>
      <w:color w:val="000000"/>
      <w:sz w:val="20"/>
      <w:szCs w:val="20"/>
      <w:lang w:val="en-US"/>
    </w:rPr>
  </w:style>
  <w:style w:type="character" w:customStyle="1" w:styleId="abcflokkarChar">
    <w:name w:val="abc flokkar Char"/>
    <w:link w:val="abcflokkar"/>
    <w:rsid w:val="00BD026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67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9D137A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b/>
      <w:bCs/>
      <w:noProof/>
      <w:color w:val="auto"/>
      <w:kern w:val="32"/>
      <w:sz w:val="24"/>
      <w:lang w:eastAsia="is-IS"/>
    </w:rPr>
  </w:style>
  <w:style w:type="character" w:customStyle="1" w:styleId="KaflafyrirsagnirChar">
    <w:name w:val="Kaflafyrirsagnir Char"/>
    <w:link w:val="Kaflafyrirsagnir"/>
    <w:rsid w:val="009D137A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character" w:customStyle="1" w:styleId="Heading1Char">
    <w:name w:val="Heading 1 Char"/>
    <w:basedOn w:val="DefaultParagraphFont"/>
    <w:link w:val="Heading1"/>
    <w:uiPriority w:val="9"/>
    <w:rsid w:val="009D13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37A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paragraph" w:styleId="NoSpacing">
    <w:name w:val="No Spacing"/>
    <w:aliases w:val="verkþáttur,Verkþátturr"/>
    <w:uiPriority w:val="1"/>
    <w:qFormat/>
    <w:rsid w:val="009D137A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B26E0A"/>
    <w:pPr>
      <w:tabs>
        <w:tab w:val="clear" w:pos="1134"/>
      </w:tabs>
      <w:spacing w:line="259" w:lineRule="auto"/>
      <w:ind w:left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6E0A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B26E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E0A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26E0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6E0A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26E0A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76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41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41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41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68755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87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7829-6A08-436D-AE2B-CD3337BD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4</cp:revision>
  <dcterms:created xsi:type="dcterms:W3CDTF">2020-01-09T15:12:00Z</dcterms:created>
  <dcterms:modified xsi:type="dcterms:W3CDTF">2023-05-02T15:22:00Z</dcterms:modified>
</cp:coreProperties>
</file>