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is-IS"/>
        </w:rPr>
        <w:id w:val="-20394620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A64C225" w14:textId="77777777" w:rsidR="00CE1B66" w:rsidRPr="00CE1B66" w:rsidRDefault="00CE1B66">
          <w:pPr>
            <w:pStyle w:val="TOCHeading"/>
            <w:rPr>
              <w:b/>
              <w:color w:val="auto"/>
            </w:rPr>
          </w:pPr>
          <w:r w:rsidRPr="00CE1B66">
            <w:rPr>
              <w:b/>
              <w:color w:val="auto"/>
            </w:rPr>
            <w:t>Efnisyfirlit</w:t>
          </w:r>
        </w:p>
        <w:p w14:paraId="73E612BB" w14:textId="7A04E0E3" w:rsidR="002F23D3" w:rsidRDefault="00CE1B66">
          <w:pPr>
            <w:pStyle w:val="TOC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s-I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4016788" w:history="1">
            <w:r w:rsidR="002F23D3" w:rsidRPr="0090463B">
              <w:rPr>
                <w:rStyle w:val="Hyperlink"/>
                <w:noProof/>
              </w:rPr>
              <w:t>Rofvörn – Almenn lýsing</w:t>
            </w:r>
            <w:r w:rsidR="002F23D3">
              <w:rPr>
                <w:noProof/>
                <w:webHidden/>
              </w:rPr>
              <w:tab/>
            </w:r>
            <w:r w:rsidR="002F23D3">
              <w:rPr>
                <w:noProof/>
                <w:webHidden/>
              </w:rPr>
              <w:fldChar w:fldCharType="begin"/>
            </w:r>
            <w:r w:rsidR="002F23D3">
              <w:rPr>
                <w:noProof/>
                <w:webHidden/>
              </w:rPr>
              <w:instrText xml:space="preserve"> PAGEREF _Toc94016788 \h </w:instrText>
            </w:r>
            <w:r w:rsidR="002F23D3">
              <w:rPr>
                <w:noProof/>
                <w:webHidden/>
              </w:rPr>
            </w:r>
            <w:r w:rsidR="002F23D3">
              <w:rPr>
                <w:noProof/>
                <w:webHidden/>
              </w:rPr>
              <w:fldChar w:fldCharType="separate"/>
            </w:r>
            <w:r w:rsidR="002F23D3">
              <w:rPr>
                <w:noProof/>
                <w:webHidden/>
              </w:rPr>
              <w:t>1</w:t>
            </w:r>
            <w:r w:rsidR="002F23D3">
              <w:rPr>
                <w:noProof/>
                <w:webHidden/>
              </w:rPr>
              <w:fldChar w:fldCharType="end"/>
            </w:r>
          </w:hyperlink>
        </w:p>
        <w:p w14:paraId="5C698EC9" w14:textId="78B5A679" w:rsidR="002F23D3" w:rsidRDefault="00000000">
          <w:pPr>
            <w:pStyle w:val="TOC1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s-IS"/>
            </w:rPr>
          </w:pPr>
          <w:hyperlink w:anchor="_Toc94016789" w:history="1">
            <w:r w:rsidR="002F23D3" w:rsidRPr="0090463B">
              <w:rPr>
                <w:rStyle w:val="Hyperlink"/>
                <w:noProof/>
              </w:rPr>
              <w:t xml:space="preserve">36.1 </w:t>
            </w:r>
            <w:r w:rsidR="002F23D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s-IS"/>
              </w:rPr>
              <w:tab/>
            </w:r>
            <w:r w:rsidR="002F23D3" w:rsidRPr="0090463B">
              <w:rPr>
                <w:rStyle w:val="Hyperlink"/>
                <w:noProof/>
              </w:rPr>
              <w:t>Fyllingarefni í garða</w:t>
            </w:r>
            <w:r w:rsidR="002F23D3">
              <w:rPr>
                <w:noProof/>
                <w:webHidden/>
              </w:rPr>
              <w:tab/>
            </w:r>
            <w:r w:rsidR="002F23D3">
              <w:rPr>
                <w:noProof/>
                <w:webHidden/>
              </w:rPr>
              <w:fldChar w:fldCharType="begin"/>
            </w:r>
            <w:r w:rsidR="002F23D3">
              <w:rPr>
                <w:noProof/>
                <w:webHidden/>
              </w:rPr>
              <w:instrText xml:space="preserve"> PAGEREF _Toc94016789 \h </w:instrText>
            </w:r>
            <w:r w:rsidR="002F23D3">
              <w:rPr>
                <w:noProof/>
                <w:webHidden/>
              </w:rPr>
            </w:r>
            <w:r w:rsidR="002F23D3">
              <w:rPr>
                <w:noProof/>
                <w:webHidden/>
              </w:rPr>
              <w:fldChar w:fldCharType="separate"/>
            </w:r>
            <w:r w:rsidR="002F23D3">
              <w:rPr>
                <w:noProof/>
                <w:webHidden/>
              </w:rPr>
              <w:t>2</w:t>
            </w:r>
            <w:r w:rsidR="002F23D3">
              <w:rPr>
                <w:noProof/>
                <w:webHidden/>
              </w:rPr>
              <w:fldChar w:fldCharType="end"/>
            </w:r>
          </w:hyperlink>
        </w:p>
        <w:p w14:paraId="5897A2CA" w14:textId="477AEF66" w:rsidR="002F23D3" w:rsidRDefault="00000000">
          <w:pPr>
            <w:pStyle w:val="TOC1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s-IS"/>
            </w:rPr>
          </w:pPr>
          <w:hyperlink w:anchor="_Toc94016790" w:history="1">
            <w:r w:rsidR="002F23D3" w:rsidRPr="0090463B">
              <w:rPr>
                <w:rStyle w:val="Hyperlink"/>
                <w:noProof/>
              </w:rPr>
              <w:t xml:space="preserve">36.2 </w:t>
            </w:r>
            <w:r w:rsidR="002F23D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s-IS"/>
              </w:rPr>
              <w:tab/>
            </w:r>
            <w:r w:rsidR="002F23D3" w:rsidRPr="0090463B">
              <w:rPr>
                <w:rStyle w:val="Hyperlink"/>
                <w:noProof/>
              </w:rPr>
              <w:t>Grjótvörn</w:t>
            </w:r>
            <w:r w:rsidR="002F23D3">
              <w:rPr>
                <w:noProof/>
                <w:webHidden/>
              </w:rPr>
              <w:tab/>
            </w:r>
            <w:r w:rsidR="002F23D3">
              <w:rPr>
                <w:noProof/>
                <w:webHidden/>
              </w:rPr>
              <w:fldChar w:fldCharType="begin"/>
            </w:r>
            <w:r w:rsidR="002F23D3">
              <w:rPr>
                <w:noProof/>
                <w:webHidden/>
              </w:rPr>
              <w:instrText xml:space="preserve"> PAGEREF _Toc94016790 \h </w:instrText>
            </w:r>
            <w:r w:rsidR="002F23D3">
              <w:rPr>
                <w:noProof/>
                <w:webHidden/>
              </w:rPr>
            </w:r>
            <w:r w:rsidR="002F23D3">
              <w:rPr>
                <w:noProof/>
                <w:webHidden/>
              </w:rPr>
              <w:fldChar w:fldCharType="separate"/>
            </w:r>
            <w:r w:rsidR="002F23D3">
              <w:rPr>
                <w:noProof/>
                <w:webHidden/>
              </w:rPr>
              <w:t>2</w:t>
            </w:r>
            <w:r w:rsidR="002F23D3">
              <w:rPr>
                <w:noProof/>
                <w:webHidden/>
              </w:rPr>
              <w:fldChar w:fldCharType="end"/>
            </w:r>
          </w:hyperlink>
        </w:p>
        <w:p w14:paraId="4C4CFD31" w14:textId="07043637" w:rsidR="002F23D3" w:rsidRDefault="00000000">
          <w:pPr>
            <w:pStyle w:val="TOC1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is-IS"/>
            </w:rPr>
          </w:pPr>
          <w:hyperlink w:anchor="_Toc94016791" w:history="1">
            <w:r w:rsidR="002F23D3" w:rsidRPr="0090463B">
              <w:rPr>
                <w:rStyle w:val="Hyperlink"/>
                <w:noProof/>
              </w:rPr>
              <w:t xml:space="preserve">36.32 </w:t>
            </w:r>
            <w:r w:rsidR="002F23D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is-IS"/>
              </w:rPr>
              <w:tab/>
            </w:r>
            <w:r w:rsidR="002F23D3" w:rsidRPr="0090463B">
              <w:rPr>
                <w:rStyle w:val="Hyperlink"/>
                <w:noProof/>
              </w:rPr>
              <w:t>Síulag</w:t>
            </w:r>
            <w:r w:rsidR="002F23D3">
              <w:rPr>
                <w:noProof/>
                <w:webHidden/>
              </w:rPr>
              <w:tab/>
            </w:r>
            <w:r w:rsidR="002F23D3">
              <w:rPr>
                <w:noProof/>
                <w:webHidden/>
              </w:rPr>
              <w:fldChar w:fldCharType="begin"/>
            </w:r>
            <w:r w:rsidR="002F23D3">
              <w:rPr>
                <w:noProof/>
                <w:webHidden/>
              </w:rPr>
              <w:instrText xml:space="preserve"> PAGEREF _Toc94016791 \h </w:instrText>
            </w:r>
            <w:r w:rsidR="002F23D3">
              <w:rPr>
                <w:noProof/>
                <w:webHidden/>
              </w:rPr>
            </w:r>
            <w:r w:rsidR="002F23D3">
              <w:rPr>
                <w:noProof/>
                <w:webHidden/>
              </w:rPr>
              <w:fldChar w:fldCharType="separate"/>
            </w:r>
            <w:r w:rsidR="002F23D3">
              <w:rPr>
                <w:noProof/>
                <w:webHidden/>
              </w:rPr>
              <w:t>3</w:t>
            </w:r>
            <w:r w:rsidR="002F23D3">
              <w:rPr>
                <w:noProof/>
                <w:webHidden/>
              </w:rPr>
              <w:fldChar w:fldCharType="end"/>
            </w:r>
          </w:hyperlink>
        </w:p>
        <w:p w14:paraId="273F5A63" w14:textId="409A2A86" w:rsidR="00CE1B66" w:rsidRDefault="00CE1B66">
          <w:r>
            <w:rPr>
              <w:b/>
              <w:bCs/>
              <w:noProof/>
            </w:rPr>
            <w:fldChar w:fldCharType="end"/>
          </w:r>
        </w:p>
      </w:sdtContent>
    </w:sdt>
    <w:p w14:paraId="447B4688" w14:textId="77777777" w:rsidR="00C84449" w:rsidRDefault="00C84449" w:rsidP="00EC3694">
      <w:pPr>
        <w:pStyle w:val="Kaflafyrirsagnir"/>
      </w:pPr>
      <w:bookmarkStart w:id="0" w:name="_Toc94016788"/>
      <w:r>
        <w:t>R</w:t>
      </w:r>
      <w:r w:rsidRPr="00DF09DF">
        <w:t>ofvörn</w:t>
      </w:r>
      <w:r w:rsidR="0055310A">
        <w:t xml:space="preserve"> – Almenn lýsing</w:t>
      </w:r>
      <w:bookmarkEnd w:id="0"/>
    </w:p>
    <w:p w14:paraId="484D9C95" w14:textId="77777777" w:rsidR="00C84449" w:rsidRPr="001D2B46" w:rsidRDefault="00C84449" w:rsidP="001D2B46">
      <w:pPr>
        <w:pStyle w:val="Li-fyrirsagnir"/>
      </w:pPr>
      <w:r w:rsidRPr="001D2B46">
        <w:t>a)</w:t>
      </w:r>
      <w:r w:rsidRPr="001D2B46">
        <w:tab/>
        <w:t>Verksvið</w:t>
      </w:r>
    </w:p>
    <w:p w14:paraId="647CDD6A" w14:textId="35148B80" w:rsidR="00C84449" w:rsidRPr="001D2B46" w:rsidRDefault="00C84449" w:rsidP="0055310A">
      <w:pPr>
        <w:rPr>
          <w:b/>
          <w:noProof/>
        </w:rPr>
      </w:pPr>
      <w:r w:rsidRPr="001D2B46">
        <w:rPr>
          <w:noProof/>
        </w:rPr>
        <w:t>Verksviðið eru rofvarnir. Innifalið er allt efni og öll vinna við gerð rofvarnar, þ</w:t>
      </w:r>
      <w:r w:rsidR="0034058A">
        <w:rPr>
          <w:noProof/>
        </w:rPr>
        <w:t>.</w:t>
      </w:r>
      <w:r w:rsidRPr="001D2B46">
        <w:rPr>
          <w:noProof/>
        </w:rPr>
        <w:t>m.t. nauðsynlegur undirbúningur rofvarnar, losun efnis (</w:t>
      </w:r>
      <w:r w:rsidR="00EC3694" w:rsidRPr="001D2B46">
        <w:rPr>
          <w:noProof/>
        </w:rPr>
        <w:t>n</w:t>
      </w:r>
      <w:r w:rsidRPr="001D2B46">
        <w:rPr>
          <w:noProof/>
        </w:rPr>
        <w:t xml:space="preserve">ema þegar um berg er að ræða) ofanýtingu, vatnsvarnir, haugsetningu, ámokstur og flutning, útlögn og gerð fyllingar og grjótvarnar.  </w:t>
      </w:r>
    </w:p>
    <w:p w14:paraId="25470AD2" w14:textId="77777777" w:rsidR="00C84449" w:rsidRPr="001D2B46" w:rsidRDefault="00C84449" w:rsidP="001D2B46">
      <w:pPr>
        <w:pStyle w:val="Li-fyrirsagnir"/>
      </w:pPr>
      <w:bookmarkStart w:id="1" w:name="_Toc178406393"/>
      <w:r w:rsidRPr="001D2B46">
        <w:t>b)</w:t>
      </w:r>
      <w:r w:rsidRPr="001D2B46">
        <w:tab/>
        <w:t>Efniskröfur</w:t>
      </w:r>
      <w:bookmarkEnd w:id="1"/>
    </w:p>
    <w:p w14:paraId="3176CF90" w14:textId="77777777" w:rsidR="00C84449" w:rsidRPr="00DF09DF" w:rsidRDefault="00C84449" w:rsidP="001D2B46">
      <w:pPr>
        <w:rPr>
          <w:noProof/>
        </w:rPr>
      </w:pPr>
      <w:bookmarkStart w:id="2" w:name="_Toc178406394"/>
      <w:r w:rsidRPr="00DF09DF">
        <w:rPr>
          <w:noProof/>
        </w:rPr>
        <w:t>Fyllingarefni í varnargarð skal ekki vera  mosi, hrís, torf eða stórgrýti og það má ekki innihalda snjó eða ísklumpa.</w:t>
      </w:r>
    </w:p>
    <w:p w14:paraId="3605A6C6" w14:textId="77777777" w:rsidR="00C84449" w:rsidRPr="00DF09DF" w:rsidRDefault="00C84449" w:rsidP="001D2B46">
      <w:pPr>
        <w:rPr>
          <w:noProof/>
        </w:rPr>
      </w:pPr>
      <w:r w:rsidRPr="00DF09DF">
        <w:rPr>
          <w:noProof/>
        </w:rPr>
        <w:t xml:space="preserve">Kornadreifing hvers lags í fyllingu  skal vera þannig að ekki sé hætta á að fínna efni (S) úr einu lagi gangi inn í grófara efni (G) í næsta lagi, undir eða yfir. Eftirfarandi  kröfur skal uppfylla milli einstakra efnislaga.  </w:t>
      </w:r>
    </w:p>
    <w:p w14:paraId="11DBBD25" w14:textId="77777777" w:rsidR="00C84449" w:rsidRPr="00DF09DF" w:rsidRDefault="00C84449" w:rsidP="00C84449">
      <w:pPr>
        <w:pStyle w:val="abcflokkar"/>
        <w:tabs>
          <w:tab w:val="left" w:pos="1701"/>
        </w:tabs>
        <w:ind w:left="1134"/>
        <w:rPr>
          <w:noProof/>
          <w:sz w:val="24"/>
          <w:szCs w:val="24"/>
        </w:rPr>
      </w:pPr>
      <w:r w:rsidRPr="00DF09DF">
        <w:rPr>
          <w:noProof/>
          <w:sz w:val="24"/>
          <w:szCs w:val="24"/>
        </w:rPr>
        <w:t>Tafla 37-T1  (dx  er sú kornastærð sem x% af efninu smýgur.)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8"/>
        <w:gridCol w:w="4678"/>
      </w:tblGrid>
      <w:tr w:rsidR="00C84449" w:rsidRPr="001D2B46" w14:paraId="5042A936" w14:textId="77777777" w:rsidTr="00A37A11">
        <w:trPr>
          <w:gridAfter w:val="1"/>
          <w:wAfter w:w="4678" w:type="dxa"/>
          <w:cantSplit/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5F3E54C" w14:textId="77777777" w:rsidR="00C84449" w:rsidRPr="001D2B46" w:rsidRDefault="00C84449" w:rsidP="001D2B46">
            <w:pPr>
              <w:pStyle w:val="ListParagraph"/>
            </w:pPr>
            <w:r w:rsidRPr="001D2B46">
              <w:t xml:space="preserve">d15 G 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05891" w14:textId="77777777" w:rsidR="00C84449" w:rsidRPr="001D2B46" w:rsidRDefault="00C84449" w:rsidP="001D2B46">
            <w:pPr>
              <w:pStyle w:val="ListParagraph"/>
            </w:pPr>
            <w:r w:rsidRPr="001D2B46">
              <w:t>&lt;  5</w:t>
            </w:r>
          </w:p>
        </w:tc>
      </w:tr>
      <w:tr w:rsidR="00C84449" w:rsidRPr="001D2B46" w14:paraId="553917D6" w14:textId="77777777" w:rsidTr="00A37A11">
        <w:trPr>
          <w:gridAfter w:val="1"/>
          <w:wAfter w:w="4678" w:type="dxa"/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26418" w14:textId="77777777" w:rsidR="00C84449" w:rsidRPr="001D2B46" w:rsidRDefault="00C84449" w:rsidP="001D2B46">
            <w:pPr>
              <w:pStyle w:val="ListParagraph"/>
            </w:pPr>
            <w:r w:rsidRPr="001D2B46">
              <w:t xml:space="preserve">d85 S  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A6C0A3" w14:textId="77777777" w:rsidR="00C84449" w:rsidRPr="001D2B46" w:rsidRDefault="00C84449" w:rsidP="001D2B46">
            <w:pPr>
              <w:pStyle w:val="ListParagraph"/>
            </w:pPr>
          </w:p>
        </w:tc>
      </w:tr>
      <w:tr w:rsidR="00C84449" w:rsidRPr="001D2B46" w14:paraId="691D7C4B" w14:textId="77777777" w:rsidTr="00A37A11">
        <w:trPr>
          <w:gridAfter w:val="1"/>
          <w:wAfter w:w="4678" w:type="dxa"/>
          <w:cantSplit/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A5458CB" w14:textId="77777777" w:rsidR="00C84449" w:rsidRPr="001D2B46" w:rsidRDefault="00C84449" w:rsidP="001D2B46">
            <w:pPr>
              <w:pStyle w:val="ListParagraph"/>
            </w:pPr>
            <w:r w:rsidRPr="001D2B46">
              <w:t xml:space="preserve">d50 G 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F145F" w14:textId="77777777" w:rsidR="00C84449" w:rsidRPr="001D2B46" w:rsidRDefault="00C84449" w:rsidP="001D2B46">
            <w:pPr>
              <w:pStyle w:val="ListParagraph"/>
            </w:pPr>
            <w:r w:rsidRPr="001D2B46">
              <w:t xml:space="preserve">&lt;  25 </w:t>
            </w:r>
          </w:p>
        </w:tc>
      </w:tr>
      <w:tr w:rsidR="00C84449" w:rsidRPr="001D2B46" w14:paraId="588E3B36" w14:textId="77777777" w:rsidTr="00A37A11">
        <w:trPr>
          <w:gridAfter w:val="1"/>
          <w:wAfter w:w="4678" w:type="dxa"/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3625C9" w14:textId="77777777" w:rsidR="00C84449" w:rsidRPr="001D2B46" w:rsidRDefault="00C84449" w:rsidP="001D2B46">
            <w:pPr>
              <w:pStyle w:val="ListParagraph"/>
            </w:pPr>
            <w:r w:rsidRPr="001D2B46">
              <w:t xml:space="preserve">d50 S 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545002" w14:textId="77777777" w:rsidR="00C84449" w:rsidRPr="001D2B46" w:rsidRDefault="00C84449" w:rsidP="001D2B46">
            <w:pPr>
              <w:pStyle w:val="ListParagraph"/>
            </w:pPr>
          </w:p>
        </w:tc>
      </w:tr>
      <w:tr w:rsidR="00C84449" w:rsidRPr="001D2B46" w14:paraId="71F75AF4" w14:textId="77777777" w:rsidTr="00A37A11">
        <w:trPr>
          <w:cantSplit/>
          <w:trHeight w:val="240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826254" w14:textId="77777777" w:rsidR="00C84449" w:rsidRPr="001D2B46" w:rsidRDefault="00C84449" w:rsidP="001D2B46">
            <w:pPr>
              <w:pStyle w:val="ListParagraph"/>
            </w:pPr>
            <w:r w:rsidRPr="001D2B46">
              <w:t>d15 G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316F2" w14:textId="77777777" w:rsidR="00C84449" w:rsidRPr="001D2B46" w:rsidRDefault="00C84449" w:rsidP="001D2B46">
            <w:pPr>
              <w:pStyle w:val="ListParagraph"/>
            </w:pPr>
            <w:r w:rsidRPr="001D2B46">
              <w:t xml:space="preserve">&gt;  5 </w:t>
            </w:r>
          </w:p>
        </w:tc>
        <w:tc>
          <w:tcPr>
            <w:tcW w:w="467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D940101" w14:textId="77777777" w:rsidR="00C84449" w:rsidRPr="001D2B46" w:rsidRDefault="00C84449" w:rsidP="001D2B46">
            <w:pPr>
              <w:pStyle w:val="ListParagraph"/>
            </w:pPr>
          </w:p>
        </w:tc>
      </w:tr>
      <w:tr w:rsidR="00C84449" w:rsidRPr="001D2B46" w14:paraId="0B6E1516" w14:textId="77777777" w:rsidTr="00A37A11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692971" w14:textId="77777777" w:rsidR="00C84449" w:rsidRPr="001D2B46" w:rsidRDefault="00C84449" w:rsidP="001D2B46">
            <w:pPr>
              <w:pStyle w:val="ListParagraph"/>
            </w:pPr>
            <w:r w:rsidRPr="001D2B46">
              <w:t xml:space="preserve">d15 S </w:t>
            </w:r>
          </w:p>
        </w:tc>
        <w:tc>
          <w:tcPr>
            <w:tcW w:w="70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267B5FC" w14:textId="77777777" w:rsidR="00C84449" w:rsidRPr="001D2B46" w:rsidRDefault="00C84449" w:rsidP="001D2B46">
            <w:pPr>
              <w:pStyle w:val="ListParagraph"/>
            </w:pPr>
          </w:p>
        </w:tc>
        <w:tc>
          <w:tcPr>
            <w:tcW w:w="4678" w:type="dxa"/>
            <w:vMerge/>
            <w:tcBorders>
              <w:left w:val="nil"/>
              <w:bottom w:val="nil"/>
              <w:right w:val="nil"/>
            </w:tcBorders>
          </w:tcPr>
          <w:p w14:paraId="2FBD4789" w14:textId="77777777" w:rsidR="00C84449" w:rsidRPr="001D2B46" w:rsidRDefault="00C84449" w:rsidP="001D2B46">
            <w:pPr>
              <w:pStyle w:val="ListParagraph"/>
            </w:pPr>
          </w:p>
        </w:tc>
      </w:tr>
    </w:tbl>
    <w:p w14:paraId="192B96F4" w14:textId="77777777" w:rsidR="00C84449" w:rsidRPr="00DF09DF" w:rsidRDefault="00C84449" w:rsidP="001D2B46">
      <w:pPr>
        <w:rPr>
          <w:noProof/>
        </w:rPr>
      </w:pPr>
      <w:r w:rsidRPr="00DF09DF">
        <w:rPr>
          <w:noProof/>
        </w:rPr>
        <w:t>Ef kröfur eru ekki uppfylltar skal setja síulag eða síudúk milli laga. Eftirfarandi kröfur eru gerðar:</w:t>
      </w:r>
    </w:p>
    <w:p w14:paraId="384ADDB1" w14:textId="77777777" w:rsidR="00C84449" w:rsidRPr="00DF09DF" w:rsidRDefault="00C84449" w:rsidP="001D2B46">
      <w:pPr>
        <w:rPr>
          <w:noProof/>
        </w:rPr>
      </w:pPr>
      <w:r w:rsidRPr="00DF09DF">
        <w:rPr>
          <w:noProof/>
        </w:rPr>
        <w:t>Lágmarksþykkt síulags skal vera 150 mm. Mesta steinastærð skal vera minni en helmingur lagþykktar.</w:t>
      </w:r>
      <w:r w:rsidRPr="00DF09DF">
        <w:t xml:space="preserve"> Minnst 50% af síuefninu vera &gt; 2</w:t>
      </w:r>
      <w:r w:rsidRPr="00DF09DF">
        <w:rPr>
          <w:noProof/>
        </w:rPr>
        <w:t xml:space="preserve"> mm</w:t>
      </w:r>
      <w:r w:rsidRPr="00DF09DF">
        <w:t xml:space="preserve"> Hámark fínefna í óflokkuðu efni skal vera samkvæmt UF</w:t>
      </w:r>
      <w:r w:rsidRPr="00DF09DF">
        <w:rPr>
          <w:vertAlign w:val="subscript"/>
        </w:rPr>
        <w:t xml:space="preserve">7 </w:t>
      </w:r>
      <w:r w:rsidRPr="00DF09DF">
        <w:t>miðað við efni í stærðarflokki 0/63 mm.  Að öðru leyti skal síuefnið uppfylla sömu kröfur og efnin sem það er síuefni fyrir.</w:t>
      </w:r>
    </w:p>
    <w:p w14:paraId="2B279AFB" w14:textId="77777777" w:rsidR="00C84449" w:rsidRPr="00DF09DF" w:rsidRDefault="00C84449" w:rsidP="001D2B46">
      <w:pPr>
        <w:rPr>
          <w:noProof/>
        </w:rPr>
      </w:pPr>
      <w:r w:rsidRPr="00DF09DF">
        <w:rPr>
          <w:noProof/>
        </w:rPr>
        <w:t>Síudúkar skulu uppfylla kröfur ÍST-EN 13249.</w:t>
      </w:r>
    </w:p>
    <w:p w14:paraId="29715432" w14:textId="77777777" w:rsidR="00C84449" w:rsidRPr="00DF09DF" w:rsidRDefault="00C84449" w:rsidP="001D2B46">
      <w:pPr>
        <w:rPr>
          <w:noProof/>
        </w:rPr>
      </w:pPr>
      <w:r w:rsidRPr="00DF09DF">
        <w:rPr>
          <w:noProof/>
        </w:rPr>
        <w:t>Grjót í rofvörn skal vera heillegt, lítið ummyndað og veðrunarþolið storkuberg (basalt, dólerít eða gabbró). Grjótið skal vera með rúmþyngd (rakamettaða) yfir 2700 kg/m</w:t>
      </w:r>
      <w:r w:rsidRPr="00DF09DF">
        <w:rPr>
          <w:noProof/>
          <w:vertAlign w:val="superscript"/>
        </w:rPr>
        <w:t>3</w:t>
      </w:r>
      <w:r w:rsidRPr="00DF09DF">
        <w:rPr>
          <w:noProof/>
        </w:rPr>
        <w:t>, rakadrægni  minni en 1,5% og brotstuðul í þverbroti (I</w:t>
      </w:r>
      <w:r w:rsidRPr="00DF09DF">
        <w:rPr>
          <w:noProof/>
          <w:vertAlign w:val="subscript"/>
        </w:rPr>
        <w:t>S(50)</w:t>
      </w:r>
      <w:r w:rsidRPr="00DF09DF">
        <w:rPr>
          <w:noProof/>
        </w:rPr>
        <w:t>) yfir 3 MPa. Flögun í frost-/þíðuprófi skal vera minni en 0,1 kg/m</w:t>
      </w:r>
      <w:r w:rsidRPr="00DF09DF">
        <w:rPr>
          <w:noProof/>
          <w:vertAlign w:val="superscript"/>
        </w:rPr>
        <w:t>2</w:t>
      </w:r>
      <w:r w:rsidRPr="00DF09DF">
        <w:rPr>
          <w:noProof/>
        </w:rPr>
        <w:t xml:space="preserve">. </w:t>
      </w:r>
    </w:p>
    <w:p w14:paraId="7BB7C0CD" w14:textId="77777777" w:rsidR="00C84449" w:rsidRPr="001D2B46" w:rsidRDefault="00C84449" w:rsidP="001D2B46">
      <w:pPr>
        <w:pStyle w:val="Li-fyrirsagnir"/>
      </w:pPr>
      <w:r w:rsidRPr="001D2B46">
        <w:t>c)</w:t>
      </w:r>
      <w:r w:rsidRPr="001D2B46">
        <w:tab/>
        <w:t>Vinnugæði</w:t>
      </w:r>
      <w:bookmarkEnd w:id="2"/>
    </w:p>
    <w:p w14:paraId="536C72FB" w14:textId="77777777" w:rsidR="00C84449" w:rsidRPr="00DF09DF" w:rsidRDefault="00C84449" w:rsidP="001D2B46">
      <w:pPr>
        <w:rPr>
          <w:noProof/>
        </w:rPr>
      </w:pPr>
      <w:r w:rsidRPr="00DF09DF">
        <w:rPr>
          <w:noProof/>
        </w:rPr>
        <w:lastRenderedPageBreak/>
        <w:t>Fyllingarefnið skal leggja þannig út að sem mest þjöppun náist og ekki verði um missig af völdum eftirþjöppunar að ræða.</w:t>
      </w:r>
    </w:p>
    <w:p w14:paraId="0283E06D" w14:textId="77777777" w:rsidR="00C84449" w:rsidRPr="00DF09DF" w:rsidRDefault="00C84449" w:rsidP="001D2B46">
      <w:pPr>
        <w:rPr>
          <w:noProof/>
        </w:rPr>
      </w:pPr>
      <w:r w:rsidRPr="00DF09DF">
        <w:rPr>
          <w:noProof/>
        </w:rPr>
        <w:t>Í rofvörn</w:t>
      </w:r>
      <w:r w:rsidRPr="00DF09DF">
        <w:rPr>
          <w:b/>
          <w:noProof/>
        </w:rPr>
        <w:t xml:space="preserve"> </w:t>
      </w:r>
      <w:r w:rsidRPr="00DF09DF">
        <w:rPr>
          <w:noProof/>
        </w:rPr>
        <w:t>skulu fláar, yfirborðslínur, dýptir, lagþykktir og hæðir vera í samræmi við uppdrætti. Jafna skal undirlagið áður en byrjað er á útlögn rofvarnar. Grjóti skal raðað þannig að sem mest af sallanum (steinar léttari en W</w:t>
      </w:r>
      <w:r w:rsidRPr="00DF09DF">
        <w:rPr>
          <w:noProof/>
          <w:vertAlign w:val="subscript"/>
        </w:rPr>
        <w:t>15</w:t>
      </w:r>
      <w:r w:rsidRPr="00DF09DF">
        <w:rPr>
          <w:noProof/>
        </w:rPr>
        <w:t xml:space="preserve">) lendi næst undirlaginu.  </w:t>
      </w:r>
    </w:p>
    <w:p w14:paraId="184575E4" w14:textId="77777777" w:rsidR="00C84449" w:rsidRPr="00DF09DF" w:rsidRDefault="00C84449" w:rsidP="001D2B46">
      <w:pPr>
        <w:rPr>
          <w:noProof/>
        </w:rPr>
      </w:pPr>
      <w:r w:rsidRPr="00DF09DF">
        <w:rPr>
          <w:noProof/>
        </w:rPr>
        <w:t xml:space="preserve">Grjóti skal raðað þannig að steinn falli þétt að steini, að holrúm verði sem minnst og steinar vel skorðaðir. Aflanga steina skal leggja þannig að langás steina liggi hornrétt á fláa. </w:t>
      </w:r>
    </w:p>
    <w:p w14:paraId="3BC85976" w14:textId="77777777" w:rsidR="00C84449" w:rsidRPr="00DF09DF" w:rsidRDefault="00C84449" w:rsidP="001D2B46">
      <w:pPr>
        <w:rPr>
          <w:noProof/>
        </w:rPr>
      </w:pPr>
      <w:r w:rsidRPr="00DF09DF">
        <w:rPr>
          <w:noProof/>
        </w:rPr>
        <w:t>Verktaki skal setja upp slár á 20 m bili á undirlagið (vegfláann/síulagið), er sýni halla og þykkt rofvarnarinnar í viðkomandi stöð. Heimilt er að nota aðrar aðferðir, sem verkkaupi samþykkir.</w:t>
      </w:r>
    </w:p>
    <w:p w14:paraId="101CE61A" w14:textId="77777777" w:rsidR="00C84449" w:rsidRPr="00DF09DF" w:rsidRDefault="00C84449" w:rsidP="001D2B46">
      <w:pPr>
        <w:rPr>
          <w:noProof/>
        </w:rPr>
      </w:pPr>
      <w:r w:rsidRPr="00DF09DF">
        <w:rPr>
          <w:noProof/>
        </w:rPr>
        <w:t>Við mat á þykkt rofvarnar skal miða við 20 m samfellda kafla. Ef frávik frá lagþykktum á þeim kafla verða yfir mörkum skal endurraða grjótinu.</w:t>
      </w:r>
    </w:p>
    <w:p w14:paraId="3FB42BF1" w14:textId="77777777" w:rsidR="00C84449" w:rsidRPr="00DF09DF" w:rsidRDefault="00C84449" w:rsidP="001D2B46">
      <w:pPr>
        <w:rPr>
          <w:noProof/>
        </w:rPr>
      </w:pPr>
      <w:r w:rsidRPr="00DF09DF">
        <w:rPr>
          <w:noProof/>
        </w:rPr>
        <w:t>Við mat á þyngd steina í rofvörn skal miða við 20 m samfellda kafla. Ef vantar, að meðaltali, meira en 20% á að uppgefin meðalþyngd steina í rofvörn náist, verður að endurgera rofvörnina á þeim kafla.</w:t>
      </w:r>
    </w:p>
    <w:p w14:paraId="7E0694BD" w14:textId="77777777" w:rsidR="00C84449" w:rsidRPr="00DF09DF" w:rsidRDefault="00C84449" w:rsidP="001D2B46">
      <w:pPr>
        <w:rPr>
          <w:noProof/>
        </w:rPr>
      </w:pPr>
      <w:r w:rsidRPr="00DF09DF">
        <w:rPr>
          <w:noProof/>
        </w:rPr>
        <w:t>Ef leggja þarf síulag skal það þjappað í samræmi við fyrirmæli verkkaupa. Ef leggja þarf síudúk</w:t>
      </w:r>
      <w:r w:rsidRPr="00DF09DF">
        <w:rPr>
          <w:b/>
          <w:noProof/>
        </w:rPr>
        <w:t xml:space="preserve"> </w:t>
      </w:r>
      <w:r w:rsidRPr="00DF09DF">
        <w:rPr>
          <w:noProof/>
        </w:rPr>
        <w:t xml:space="preserve">skal leggja hann í samræmi við fyrirmæli og leiðbeiningar framleiðanda. Leggja skal síudúk og fyllingu yfir hann án þess að hann skemmist.  </w:t>
      </w:r>
    </w:p>
    <w:p w14:paraId="5D850ED8" w14:textId="77777777" w:rsidR="00C84449" w:rsidRPr="00DF09DF" w:rsidRDefault="00C84449" w:rsidP="001D2B46">
      <w:pPr>
        <w:rPr>
          <w:noProof/>
        </w:rPr>
      </w:pPr>
      <w:r w:rsidRPr="00DF09DF">
        <w:rPr>
          <w:noProof/>
        </w:rPr>
        <w:t>Ef efni glatast</w:t>
      </w:r>
      <w:r w:rsidRPr="00DF09DF">
        <w:rPr>
          <w:b/>
          <w:noProof/>
        </w:rPr>
        <w:t xml:space="preserve"> </w:t>
      </w:r>
      <w:r w:rsidRPr="00DF09DF">
        <w:rPr>
          <w:noProof/>
        </w:rPr>
        <w:t>við gerð rofvarnar skal verktaki leggi til annað nothæft efni í staðinn.</w:t>
      </w:r>
    </w:p>
    <w:p w14:paraId="54975BCB" w14:textId="77777777" w:rsidR="00C84449" w:rsidRPr="001D2B46" w:rsidRDefault="00C84449" w:rsidP="001D2B46">
      <w:pPr>
        <w:pStyle w:val="Li-fyrirsagnir"/>
      </w:pPr>
      <w:r w:rsidRPr="001D2B46">
        <w:t>e)</w:t>
      </w:r>
      <w:r w:rsidRPr="001D2B46">
        <w:tab/>
        <w:t>Nákvæmniskröfur, þolvik</w:t>
      </w:r>
    </w:p>
    <w:p w14:paraId="4DA96718" w14:textId="77777777" w:rsidR="00C84449" w:rsidRPr="00DF09DF" w:rsidRDefault="00C84449" w:rsidP="001D2B46">
      <w:pPr>
        <w:rPr>
          <w:noProof/>
        </w:rPr>
      </w:pPr>
      <w:r w:rsidRPr="00DF09DF">
        <w:rPr>
          <w:noProof/>
        </w:rPr>
        <w:t>Leyfð frávik við gerð rofvarnar eru samkvæmt</w:t>
      </w:r>
      <w:r>
        <w:rPr>
          <w:noProof/>
        </w:rPr>
        <w:t xml:space="preserve"> eftirfarandi </w:t>
      </w:r>
      <w:r w:rsidRPr="00DF09DF">
        <w:rPr>
          <w:noProof/>
        </w:rPr>
        <w:t xml:space="preserve"> töflu: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6"/>
        <w:gridCol w:w="2341"/>
      </w:tblGrid>
      <w:tr w:rsidR="00C84449" w:rsidRPr="00DF09DF" w14:paraId="12D4749E" w14:textId="77777777" w:rsidTr="00A37A11">
        <w:trPr>
          <w:trHeight w:val="454"/>
        </w:trPr>
        <w:tc>
          <w:tcPr>
            <w:tcW w:w="0" w:type="auto"/>
            <w:vAlign w:val="center"/>
          </w:tcPr>
          <w:p w14:paraId="76E4D038" w14:textId="77777777" w:rsidR="00C84449" w:rsidRPr="00DF09DF" w:rsidRDefault="00C84449" w:rsidP="001D2B46">
            <w:pPr>
              <w:rPr>
                <w:noProof/>
              </w:rPr>
            </w:pPr>
          </w:p>
        </w:tc>
        <w:tc>
          <w:tcPr>
            <w:tcW w:w="0" w:type="auto"/>
            <w:vAlign w:val="center"/>
          </w:tcPr>
          <w:p w14:paraId="4314DFA4" w14:textId="77777777" w:rsidR="00C84449" w:rsidRPr="00DF09DF" w:rsidRDefault="00C84449" w:rsidP="001D2B46">
            <w:pPr>
              <w:rPr>
                <w:b/>
                <w:noProof/>
              </w:rPr>
            </w:pPr>
            <w:r w:rsidRPr="00DF09DF">
              <w:rPr>
                <w:b/>
                <w:noProof/>
              </w:rPr>
              <w:t>Leyfð frávik</w:t>
            </w:r>
          </w:p>
        </w:tc>
      </w:tr>
      <w:tr w:rsidR="00C84449" w:rsidRPr="00DF09DF" w14:paraId="1109911F" w14:textId="77777777" w:rsidTr="00A37A11">
        <w:trPr>
          <w:trHeight w:val="454"/>
        </w:trPr>
        <w:tc>
          <w:tcPr>
            <w:tcW w:w="0" w:type="auto"/>
            <w:vAlign w:val="center"/>
          </w:tcPr>
          <w:p w14:paraId="7B8A834C" w14:textId="77777777" w:rsidR="00C84449" w:rsidRPr="00DF09DF" w:rsidRDefault="00C84449" w:rsidP="001D2B46">
            <w:pPr>
              <w:rPr>
                <w:noProof/>
              </w:rPr>
            </w:pPr>
            <w:r w:rsidRPr="00DF09DF">
              <w:rPr>
                <w:noProof/>
              </w:rPr>
              <w:t>Frávik frá hannaðri hæð</w:t>
            </w:r>
          </w:p>
        </w:tc>
        <w:tc>
          <w:tcPr>
            <w:tcW w:w="0" w:type="auto"/>
            <w:vAlign w:val="center"/>
          </w:tcPr>
          <w:p w14:paraId="0BDBF9C4" w14:textId="77777777" w:rsidR="00C84449" w:rsidRPr="00DF09DF" w:rsidRDefault="00C84449" w:rsidP="001D2B46">
            <w:pPr>
              <w:rPr>
                <w:noProof/>
              </w:rPr>
            </w:pPr>
            <w:r w:rsidRPr="00DF09DF">
              <w:rPr>
                <w:noProof/>
              </w:rPr>
              <w:t>±  100 mm</w:t>
            </w:r>
          </w:p>
        </w:tc>
      </w:tr>
      <w:tr w:rsidR="00C84449" w:rsidRPr="00DF09DF" w14:paraId="39564B8C" w14:textId="77777777" w:rsidTr="00A37A11">
        <w:trPr>
          <w:trHeight w:val="454"/>
        </w:trPr>
        <w:tc>
          <w:tcPr>
            <w:tcW w:w="0" w:type="auto"/>
            <w:vAlign w:val="center"/>
          </w:tcPr>
          <w:p w14:paraId="37111F97" w14:textId="77777777" w:rsidR="00C84449" w:rsidRPr="00DF09DF" w:rsidRDefault="00C84449" w:rsidP="001D2B46">
            <w:pPr>
              <w:rPr>
                <w:noProof/>
              </w:rPr>
            </w:pPr>
            <w:r w:rsidRPr="00DF09DF">
              <w:rPr>
                <w:noProof/>
              </w:rPr>
              <w:t>Frávik frá hannaðri botnhæð á fláafæti</w:t>
            </w:r>
          </w:p>
        </w:tc>
        <w:tc>
          <w:tcPr>
            <w:tcW w:w="0" w:type="auto"/>
            <w:vAlign w:val="center"/>
          </w:tcPr>
          <w:p w14:paraId="26F5A8B7" w14:textId="77777777" w:rsidR="00C84449" w:rsidRPr="00DF09DF" w:rsidRDefault="00C84449" w:rsidP="001D2B46">
            <w:pPr>
              <w:rPr>
                <w:noProof/>
              </w:rPr>
            </w:pPr>
            <w:r w:rsidRPr="00DF09DF">
              <w:rPr>
                <w:noProof/>
              </w:rPr>
              <w:t>+ 100 mm</w:t>
            </w:r>
          </w:p>
        </w:tc>
      </w:tr>
      <w:tr w:rsidR="00C84449" w:rsidRPr="00DF09DF" w14:paraId="4D9B3BB3" w14:textId="77777777" w:rsidTr="00A37A11">
        <w:trPr>
          <w:trHeight w:val="454"/>
        </w:trPr>
        <w:tc>
          <w:tcPr>
            <w:tcW w:w="0" w:type="auto"/>
            <w:vAlign w:val="center"/>
          </w:tcPr>
          <w:p w14:paraId="3E9D163F" w14:textId="77777777" w:rsidR="00C84449" w:rsidRPr="00DF09DF" w:rsidRDefault="00C84449" w:rsidP="001D2B46">
            <w:pPr>
              <w:rPr>
                <w:noProof/>
              </w:rPr>
            </w:pPr>
            <w:r w:rsidRPr="00DF09DF">
              <w:rPr>
                <w:noProof/>
              </w:rPr>
              <w:t>Frávik frá hannaðri lagþykkt</w:t>
            </w:r>
          </w:p>
        </w:tc>
        <w:tc>
          <w:tcPr>
            <w:tcW w:w="0" w:type="auto"/>
            <w:vAlign w:val="center"/>
          </w:tcPr>
          <w:p w14:paraId="2B6B474E" w14:textId="77777777" w:rsidR="00C84449" w:rsidRPr="00DF09DF" w:rsidRDefault="00C84449" w:rsidP="001D2B46">
            <w:pPr>
              <w:rPr>
                <w:noProof/>
              </w:rPr>
            </w:pPr>
            <w:r w:rsidRPr="00DF09DF">
              <w:rPr>
                <w:noProof/>
              </w:rPr>
              <w:t>- 50 mm</w:t>
            </w:r>
          </w:p>
        </w:tc>
      </w:tr>
      <w:tr w:rsidR="00C84449" w:rsidRPr="00DF09DF" w14:paraId="237D888A" w14:textId="77777777" w:rsidTr="00A37A11">
        <w:trPr>
          <w:trHeight w:val="454"/>
        </w:trPr>
        <w:tc>
          <w:tcPr>
            <w:tcW w:w="0" w:type="auto"/>
            <w:vAlign w:val="center"/>
          </w:tcPr>
          <w:p w14:paraId="574E1CFD" w14:textId="77777777" w:rsidR="00C84449" w:rsidRPr="00DF09DF" w:rsidRDefault="00C84449" w:rsidP="001D2B46">
            <w:pPr>
              <w:rPr>
                <w:noProof/>
                <w:vertAlign w:val="superscript"/>
              </w:rPr>
            </w:pPr>
            <w:r w:rsidRPr="00DF09DF">
              <w:rPr>
                <w:noProof/>
              </w:rPr>
              <w:t>Frávik frá hönnuðu yfirborði fláa</w:t>
            </w:r>
            <w:r w:rsidRPr="00DF09DF">
              <w:rPr>
                <w:noProof/>
                <w:vertAlign w:val="superscript"/>
              </w:rPr>
              <w:t>1)</w:t>
            </w:r>
          </w:p>
        </w:tc>
        <w:tc>
          <w:tcPr>
            <w:tcW w:w="0" w:type="auto"/>
            <w:vAlign w:val="center"/>
          </w:tcPr>
          <w:p w14:paraId="6ABB0361" w14:textId="77777777" w:rsidR="00C84449" w:rsidRPr="00DF09DF" w:rsidRDefault="00C84449" w:rsidP="001D2B46">
            <w:pPr>
              <w:rPr>
                <w:noProof/>
              </w:rPr>
            </w:pPr>
            <w:r w:rsidRPr="00DF09DF">
              <w:rPr>
                <w:noProof/>
              </w:rPr>
              <w:t>±  100 mm</w:t>
            </w:r>
          </w:p>
        </w:tc>
      </w:tr>
    </w:tbl>
    <w:p w14:paraId="21EBE9FB" w14:textId="77777777" w:rsidR="00C84449" w:rsidRPr="00DF09DF" w:rsidRDefault="00C84449" w:rsidP="001D2B46">
      <w:r w:rsidRPr="00DF09DF">
        <w:t>1) Yfirborð grjótlags er sá flötur sem sker steina í einum þriðja af fleti.</w:t>
      </w:r>
    </w:p>
    <w:p w14:paraId="727BFF79" w14:textId="77777777" w:rsidR="00C84449" w:rsidRPr="00DF09DF" w:rsidRDefault="00C84449" w:rsidP="00C84449"/>
    <w:p w14:paraId="1A04B521" w14:textId="77777777" w:rsidR="001D2B46" w:rsidRPr="00DF09DF" w:rsidRDefault="001D2B46" w:rsidP="001D2B46">
      <w:pPr>
        <w:pStyle w:val="Kaflafyrirsagnir"/>
      </w:pPr>
      <w:bookmarkStart w:id="3" w:name="_Toc94016789"/>
      <w:r>
        <w:t xml:space="preserve">36.1 </w:t>
      </w:r>
      <w:r>
        <w:tab/>
        <w:t>Fyllingarefni í garða</w:t>
      </w:r>
      <w:bookmarkEnd w:id="3"/>
    </w:p>
    <w:p w14:paraId="41A56351" w14:textId="77777777" w:rsidR="001D2B46" w:rsidRPr="00DF09DF" w:rsidRDefault="001D2B46" w:rsidP="001D2B46">
      <w:pPr>
        <w:pStyle w:val="NoSpacing"/>
        <w:rPr>
          <w:i/>
        </w:rPr>
      </w:pPr>
      <w:r w:rsidRPr="00DF09DF">
        <w:rPr>
          <w:noProof/>
        </w:rPr>
        <w:t>a)</w:t>
      </w:r>
      <w:r>
        <w:rPr>
          <w:noProof/>
        </w:rPr>
        <w:tab/>
      </w:r>
      <w:r w:rsidRPr="005467A3">
        <w:rPr>
          <w:noProof/>
        </w:rPr>
        <w:t>Um er að ræða fyllingarefni í varnargarða</w:t>
      </w:r>
      <w:r>
        <w:rPr>
          <w:noProof/>
        </w:rPr>
        <w:t xml:space="preserve"> </w:t>
      </w:r>
      <w:r w:rsidRPr="00DF09DF">
        <w:rPr>
          <w:i/>
          <w:color w:val="5B9BD5" w:themeColor="accent1"/>
        </w:rPr>
        <w:t>[nánari lýsing]</w:t>
      </w:r>
    </w:p>
    <w:p w14:paraId="00DFFA57" w14:textId="77777777" w:rsidR="001D2B46" w:rsidRDefault="001D2B46" w:rsidP="001D2B46">
      <w:pPr>
        <w:pStyle w:val="NoSpacing"/>
        <w:rPr>
          <w:b/>
          <w:noProof/>
        </w:rPr>
      </w:pPr>
      <w:r w:rsidRPr="00DF09DF">
        <w:rPr>
          <w:noProof/>
        </w:rPr>
        <w:t>b)</w:t>
      </w:r>
      <w:r>
        <w:rPr>
          <w:noProof/>
        </w:rPr>
        <w:tab/>
      </w:r>
      <w:r w:rsidRPr="00043FB3">
        <w:rPr>
          <w:i/>
          <w:noProof/>
          <w:color w:val="5B9BD5" w:themeColor="accent1"/>
        </w:rPr>
        <w:t xml:space="preserve">[tilgreindar </w:t>
      </w:r>
      <w:r w:rsidR="00CE1B66">
        <w:rPr>
          <w:i/>
          <w:noProof/>
          <w:color w:val="5B9BD5" w:themeColor="accent1"/>
        </w:rPr>
        <w:t>gerð fyllingarefnis</w:t>
      </w:r>
      <w:r w:rsidRPr="00043FB3">
        <w:rPr>
          <w:i/>
          <w:noProof/>
          <w:color w:val="5B9BD5" w:themeColor="accent1"/>
        </w:rPr>
        <w:t>]</w:t>
      </w:r>
    </w:p>
    <w:p w14:paraId="2B937BE7" w14:textId="77777777" w:rsidR="001D2B46" w:rsidRDefault="001D2B46" w:rsidP="001D2B46">
      <w:pPr>
        <w:pStyle w:val="NoSpacing"/>
        <w:rPr>
          <w:b/>
          <w:noProof/>
        </w:rPr>
      </w:pPr>
      <w:r w:rsidRPr="00DF09DF">
        <w:rPr>
          <w:noProof/>
        </w:rPr>
        <w:t>f)</w:t>
      </w:r>
      <w:r>
        <w:rPr>
          <w:noProof/>
        </w:rPr>
        <w:tab/>
      </w:r>
      <w:r w:rsidRPr="00043FB3">
        <w:rPr>
          <w:noProof/>
        </w:rPr>
        <w:t>Uppgjör miðast við hannað frágengið rúmmál.</w:t>
      </w:r>
    </w:p>
    <w:p w14:paraId="54050B69" w14:textId="77777777" w:rsidR="001D2B46" w:rsidRPr="00043FB3" w:rsidRDefault="001D2B46" w:rsidP="001D2B46">
      <w:pPr>
        <w:pStyle w:val="NoSpacing"/>
        <w:rPr>
          <w:b/>
        </w:rPr>
      </w:pPr>
      <w:r>
        <w:rPr>
          <w:noProof/>
        </w:rPr>
        <w:t>Mælieining: m3</w:t>
      </w:r>
      <w:r w:rsidRPr="00043FB3">
        <w:t xml:space="preserve"> </w:t>
      </w:r>
    </w:p>
    <w:p w14:paraId="60938CDA" w14:textId="77777777" w:rsidR="001D2B46" w:rsidRPr="00DF09DF" w:rsidRDefault="001D2B46" w:rsidP="001D2B46">
      <w:pPr>
        <w:pStyle w:val="Kaflafyrirsagnir"/>
      </w:pPr>
      <w:bookmarkStart w:id="4" w:name="_Toc94016790"/>
      <w:r>
        <w:t xml:space="preserve">36.2 </w:t>
      </w:r>
      <w:r>
        <w:tab/>
        <w:t>Grjótvörn</w:t>
      </w:r>
      <w:bookmarkEnd w:id="4"/>
    </w:p>
    <w:p w14:paraId="178F774A" w14:textId="77777777" w:rsidR="001D2B46" w:rsidRPr="00DF09DF" w:rsidRDefault="001D2B46" w:rsidP="001D2B46">
      <w:pPr>
        <w:pStyle w:val="NoSpacing"/>
        <w:rPr>
          <w:i/>
        </w:rPr>
      </w:pPr>
      <w:r w:rsidRPr="00DF09DF">
        <w:rPr>
          <w:noProof/>
        </w:rPr>
        <w:t>a)</w:t>
      </w:r>
      <w:r>
        <w:rPr>
          <w:noProof/>
        </w:rPr>
        <w:tab/>
      </w:r>
      <w:r w:rsidRPr="005467A3">
        <w:rPr>
          <w:noProof/>
        </w:rPr>
        <w:t xml:space="preserve">Um er að ræða gerð </w:t>
      </w:r>
      <w:r>
        <w:rPr>
          <w:noProof/>
        </w:rPr>
        <w:t xml:space="preserve">grjótvarnar </w:t>
      </w:r>
      <w:r w:rsidRPr="00DF09DF">
        <w:rPr>
          <w:i/>
          <w:color w:val="5B9BD5" w:themeColor="accent1"/>
        </w:rPr>
        <w:t>[nánari lýsing]</w:t>
      </w:r>
    </w:p>
    <w:p w14:paraId="75E02187" w14:textId="77777777" w:rsidR="001D2B46" w:rsidRDefault="001D2B46" w:rsidP="001D2B46">
      <w:pPr>
        <w:pStyle w:val="NoSpacing"/>
        <w:rPr>
          <w:b/>
          <w:noProof/>
        </w:rPr>
      </w:pPr>
      <w:r w:rsidRPr="00DF09DF">
        <w:rPr>
          <w:noProof/>
        </w:rPr>
        <w:lastRenderedPageBreak/>
        <w:t>b)</w:t>
      </w:r>
      <w:r>
        <w:rPr>
          <w:noProof/>
        </w:rPr>
        <w:tab/>
      </w:r>
      <w:r w:rsidRPr="00043FB3">
        <w:rPr>
          <w:noProof/>
        </w:rPr>
        <w:t>Steinan</w:t>
      </w:r>
      <w:r w:rsidRPr="005467A3">
        <w:rPr>
          <w:noProof/>
        </w:rPr>
        <w:t>aþyngdir (W</w:t>
      </w:r>
      <w:r w:rsidRPr="005467A3">
        <w:rPr>
          <w:noProof/>
          <w:vertAlign w:val="subscript"/>
        </w:rPr>
        <w:t>x</w:t>
      </w:r>
      <w:r w:rsidRPr="005467A3">
        <w:rPr>
          <w:noProof/>
        </w:rPr>
        <w:t xml:space="preserve">) </w:t>
      </w:r>
      <w:r>
        <w:rPr>
          <w:noProof/>
        </w:rPr>
        <w:t xml:space="preserve">eru </w:t>
      </w:r>
      <w:r w:rsidRPr="00043FB3">
        <w:rPr>
          <w:i/>
          <w:noProof/>
          <w:color w:val="5B9BD5" w:themeColor="accent1"/>
        </w:rPr>
        <w:t>[tilgreindar steinaþyngdir]</w:t>
      </w:r>
    </w:p>
    <w:p w14:paraId="32733B78" w14:textId="77777777" w:rsidR="001D2B46" w:rsidRPr="00975751" w:rsidRDefault="001D2B46" w:rsidP="001D2B46">
      <w:pPr>
        <w:pStyle w:val="NoSpacing"/>
        <w:rPr>
          <w:bCs/>
          <w:i/>
          <w:iCs/>
          <w:noProof/>
          <w:color w:val="5B9BD5" w:themeColor="accent1"/>
        </w:rPr>
      </w:pPr>
      <w:r>
        <w:rPr>
          <w:noProof/>
        </w:rPr>
        <w:t>S</w:t>
      </w:r>
      <w:r w:rsidRPr="005467A3">
        <w:rPr>
          <w:noProof/>
        </w:rPr>
        <w:t>teinastærðir (d</w:t>
      </w:r>
      <w:r w:rsidRPr="005467A3">
        <w:rPr>
          <w:noProof/>
          <w:vertAlign w:val="subscript"/>
        </w:rPr>
        <w:t>x</w:t>
      </w:r>
      <w:r w:rsidRPr="005467A3">
        <w:rPr>
          <w:noProof/>
        </w:rPr>
        <w:t>)</w:t>
      </w:r>
      <w:r>
        <w:rPr>
          <w:noProof/>
        </w:rPr>
        <w:t xml:space="preserve"> eru </w:t>
      </w:r>
      <w:r w:rsidRPr="00975751">
        <w:rPr>
          <w:bCs/>
          <w:i/>
          <w:iCs/>
          <w:noProof/>
          <w:color w:val="5B9BD5" w:themeColor="accent1"/>
        </w:rPr>
        <w:t>[tilgreindar steinastærðir]</w:t>
      </w:r>
    </w:p>
    <w:p w14:paraId="09BD3527" w14:textId="77777777" w:rsidR="001D2B46" w:rsidRDefault="001D2B46" w:rsidP="001D2B46">
      <w:pPr>
        <w:pStyle w:val="NoSpacing"/>
        <w:rPr>
          <w:noProof/>
        </w:rPr>
      </w:pPr>
      <w:r>
        <w:rPr>
          <w:noProof/>
        </w:rPr>
        <w:t>G</w:t>
      </w:r>
      <w:r w:rsidRPr="005467A3">
        <w:rPr>
          <w:noProof/>
        </w:rPr>
        <w:t xml:space="preserve">rjótflokka </w:t>
      </w:r>
      <w:r>
        <w:rPr>
          <w:noProof/>
        </w:rPr>
        <w:t xml:space="preserve">eru </w:t>
      </w:r>
      <w:r w:rsidRPr="00975751">
        <w:rPr>
          <w:bCs/>
          <w:i/>
          <w:iCs/>
          <w:noProof/>
          <w:color w:val="5B9BD5" w:themeColor="accent1"/>
        </w:rPr>
        <w:t>[tilgreindir grjótflokkar]</w:t>
      </w:r>
    </w:p>
    <w:p w14:paraId="3AACC261" w14:textId="77777777" w:rsidR="001D2B46" w:rsidRDefault="001D2B46" w:rsidP="001D2B46">
      <w:pPr>
        <w:pStyle w:val="NoSpacing"/>
        <w:rPr>
          <w:b/>
          <w:noProof/>
        </w:rPr>
      </w:pPr>
      <w:r>
        <w:rPr>
          <w:noProof/>
        </w:rPr>
        <w:t>f</w:t>
      </w:r>
      <w:r w:rsidRPr="00DF09DF">
        <w:rPr>
          <w:noProof/>
        </w:rPr>
        <w:t>)</w:t>
      </w:r>
      <w:r>
        <w:rPr>
          <w:noProof/>
        </w:rPr>
        <w:tab/>
      </w:r>
      <w:r w:rsidRPr="00043FB3">
        <w:rPr>
          <w:noProof/>
        </w:rPr>
        <w:t>Uppgjör miðast við hannað frágengið rúmmál.</w:t>
      </w:r>
    </w:p>
    <w:p w14:paraId="10A9D956" w14:textId="484A3889" w:rsidR="001D2B46" w:rsidRDefault="001D2B46" w:rsidP="001D2B46">
      <w:pPr>
        <w:pStyle w:val="NoSpacing"/>
      </w:pPr>
      <w:r>
        <w:rPr>
          <w:noProof/>
        </w:rPr>
        <w:t>Mælieining: m3</w:t>
      </w:r>
      <w:r w:rsidRPr="00043FB3">
        <w:t xml:space="preserve"> </w:t>
      </w:r>
    </w:p>
    <w:p w14:paraId="6267CA77" w14:textId="3A6A8430" w:rsidR="008A5F7F" w:rsidRDefault="008A5F7F" w:rsidP="001D2B46">
      <w:pPr>
        <w:pStyle w:val="NoSpacing"/>
      </w:pPr>
    </w:p>
    <w:p w14:paraId="6470E27E" w14:textId="6D6279E6" w:rsidR="00AB192B" w:rsidRPr="00DF09DF" w:rsidRDefault="00AB192B" w:rsidP="00AB192B">
      <w:pPr>
        <w:pStyle w:val="Kaflafyrirsagnir"/>
      </w:pPr>
      <w:bookmarkStart w:id="5" w:name="_Toc94016791"/>
      <w:r>
        <w:t xml:space="preserve">36.32 </w:t>
      </w:r>
      <w:r>
        <w:tab/>
        <w:t>Síulag</w:t>
      </w:r>
      <w:bookmarkEnd w:id="5"/>
    </w:p>
    <w:p w14:paraId="4A7D84CF" w14:textId="3DA6B962" w:rsidR="00AB192B" w:rsidRDefault="00AB192B" w:rsidP="00AB192B">
      <w:pPr>
        <w:pStyle w:val="NoSpacing"/>
      </w:pPr>
      <w:r>
        <w:t>a) Verkþátturinn innifelur allt efni og alla vinnu við gerð síulags með þeim hætti og innan þeirra marka sem mælt er fyrir um. Innifalin er losun, flokkun, ámokstur, flutningur, röðun og/eða jöfnun og allur frágangur.</w:t>
      </w:r>
      <w:r w:rsidR="00A61C66">
        <w:t xml:space="preserve"> </w:t>
      </w:r>
      <w:r w:rsidR="00A61C66" w:rsidRPr="00DF09DF">
        <w:rPr>
          <w:i/>
          <w:color w:val="5B9BD5" w:themeColor="accent1"/>
        </w:rPr>
        <w:t>[nánari lýsing]</w:t>
      </w:r>
    </w:p>
    <w:p w14:paraId="4C5CE1B9" w14:textId="77777777" w:rsidR="00AB192B" w:rsidRDefault="00AB192B" w:rsidP="00AB192B">
      <w:pPr>
        <w:pStyle w:val="NoSpacing"/>
      </w:pPr>
      <w:r>
        <w:t>f) Uppgjör miðast við hannað frágengið rúmmál.</w:t>
      </w:r>
    </w:p>
    <w:p w14:paraId="26F4D1AB" w14:textId="224C5EF5" w:rsidR="00AB192B" w:rsidRDefault="00AB192B" w:rsidP="00AB192B">
      <w:pPr>
        <w:pStyle w:val="NoSpacing"/>
      </w:pPr>
      <w:r>
        <w:t>Mælieining: m3</w:t>
      </w:r>
    </w:p>
    <w:p w14:paraId="209485C2" w14:textId="77777777" w:rsidR="008A5F7F" w:rsidRPr="00043FB3" w:rsidRDefault="008A5F7F" w:rsidP="001D2B46">
      <w:pPr>
        <w:pStyle w:val="NoSpacing"/>
        <w:rPr>
          <w:b/>
        </w:rPr>
      </w:pPr>
    </w:p>
    <w:p w14:paraId="5F036067" w14:textId="77777777" w:rsidR="00C84449" w:rsidRPr="00DF09DF" w:rsidRDefault="00C84449" w:rsidP="001D2B46">
      <w:pPr>
        <w:pStyle w:val="NoSpacing"/>
      </w:pPr>
    </w:p>
    <w:p w14:paraId="1F96370C" w14:textId="77777777" w:rsidR="00F30F25" w:rsidRDefault="00F30F25" w:rsidP="001D2B46">
      <w:pPr>
        <w:pStyle w:val="NoSpacing"/>
      </w:pPr>
    </w:p>
    <w:sectPr w:rsidR="00F30F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5AE8C" w14:textId="77777777" w:rsidR="00C55909" w:rsidRDefault="00C55909" w:rsidP="00CE1B66">
      <w:pPr>
        <w:spacing w:before="0" w:after="0"/>
      </w:pPr>
      <w:r>
        <w:separator/>
      </w:r>
    </w:p>
  </w:endnote>
  <w:endnote w:type="continuationSeparator" w:id="0">
    <w:p w14:paraId="796B3C5A" w14:textId="77777777" w:rsidR="00C55909" w:rsidRDefault="00C55909" w:rsidP="00CE1B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D0D2" w14:textId="77777777" w:rsidR="007F5DA8" w:rsidRDefault="007F5D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359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156C4E" w14:textId="77777777" w:rsidR="00CE1B66" w:rsidRDefault="00CE1B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1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E8E32C" w14:textId="77777777" w:rsidR="00CE1B66" w:rsidRDefault="00CE1B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ED361" w14:textId="77777777" w:rsidR="007F5DA8" w:rsidRDefault="007F5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ABAA9" w14:textId="77777777" w:rsidR="00C55909" w:rsidRDefault="00C55909" w:rsidP="00CE1B66">
      <w:pPr>
        <w:spacing w:before="0" w:after="0"/>
      </w:pPr>
      <w:r>
        <w:separator/>
      </w:r>
    </w:p>
  </w:footnote>
  <w:footnote w:type="continuationSeparator" w:id="0">
    <w:p w14:paraId="44CE55D5" w14:textId="77777777" w:rsidR="00C55909" w:rsidRDefault="00C55909" w:rsidP="00CE1B6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6F859" w14:textId="77777777" w:rsidR="007F5DA8" w:rsidRDefault="007F5D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A173" w14:textId="1E9E40D5" w:rsidR="00CE1B66" w:rsidRDefault="00CE1B66">
    <w:pPr>
      <w:pStyle w:val="Header"/>
    </w:pPr>
    <w:r>
      <w:t>Vegagerðin</w:t>
    </w:r>
    <w:r>
      <w:ptab w:relativeTo="margin" w:alignment="center" w:leader="none"/>
    </w:r>
    <w:r>
      <w:t>Verklýsing - sniðmát</w:t>
    </w:r>
    <w:r>
      <w:ptab w:relativeTo="margin" w:alignment="right" w:leader="none"/>
    </w:r>
    <w:r w:rsidR="002F23D3">
      <w:t>24.01.2022</w:t>
    </w:r>
  </w:p>
  <w:p w14:paraId="58C37FD1" w14:textId="67ECE14B" w:rsidR="007F5DA8" w:rsidRDefault="007F5DA8" w:rsidP="007F5DA8">
    <w:pPr>
      <w:pStyle w:val="Header"/>
      <w:jc w:val="center"/>
      <w:rPr>
        <w:szCs w:val="22"/>
      </w:rPr>
    </w:pPr>
    <w:r>
      <w:t>SNI-3401</w:t>
    </w:r>
    <w:r>
      <w:t>, 36b</w:t>
    </w:r>
  </w:p>
  <w:p w14:paraId="57455AC2" w14:textId="77777777" w:rsidR="007F5DA8" w:rsidRDefault="007F5D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A6389" w14:textId="77777777" w:rsidR="007F5DA8" w:rsidRDefault="007F5D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449"/>
    <w:rsid w:val="001D2B46"/>
    <w:rsid w:val="002F23D3"/>
    <w:rsid w:val="0034058A"/>
    <w:rsid w:val="0055310A"/>
    <w:rsid w:val="007F5DA8"/>
    <w:rsid w:val="008A5F7F"/>
    <w:rsid w:val="00A61C66"/>
    <w:rsid w:val="00AB192B"/>
    <w:rsid w:val="00C55909"/>
    <w:rsid w:val="00C84449"/>
    <w:rsid w:val="00C90682"/>
    <w:rsid w:val="00CE1B66"/>
    <w:rsid w:val="00EC3694"/>
    <w:rsid w:val="00F3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E2862"/>
  <w15:chartTrackingRefBased/>
  <w15:docId w15:val="{19D6F195-62E6-4102-B5AA-37F991C3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1D2B46"/>
    <w:pPr>
      <w:spacing w:before="120" w:after="120" w:line="240" w:lineRule="auto"/>
      <w:ind w:left="851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Texti"/>
    <w:basedOn w:val="Normal"/>
    <w:next w:val="Normal"/>
    <w:link w:val="Heading1Char"/>
    <w:uiPriority w:val="9"/>
    <w:qFormat/>
    <w:rsid w:val="001D2B46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44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44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exti Char"/>
    <w:basedOn w:val="DefaultParagraphFont"/>
    <w:link w:val="Heading1"/>
    <w:uiPriority w:val="9"/>
    <w:rsid w:val="001D2B46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84449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bcflokkar">
    <w:name w:val="abc flokkar"/>
    <w:basedOn w:val="Normal"/>
    <w:link w:val="abcflokkarChar"/>
    <w:rsid w:val="00C84449"/>
    <w:pPr>
      <w:jc w:val="both"/>
    </w:pPr>
    <w:rPr>
      <w:sz w:val="20"/>
      <w:szCs w:val="20"/>
    </w:rPr>
  </w:style>
  <w:style w:type="character" w:customStyle="1" w:styleId="abcflokkarChar">
    <w:name w:val="abc flokkar Char"/>
    <w:link w:val="abcflokkar"/>
    <w:rsid w:val="00C84449"/>
    <w:rPr>
      <w:rFonts w:ascii="Times New Roman" w:eastAsia="Times New Roman" w:hAnsi="Times New Roman" w:cs="Times New Roman"/>
      <w:sz w:val="20"/>
      <w:szCs w:val="20"/>
    </w:rPr>
  </w:style>
  <w:style w:type="paragraph" w:customStyle="1" w:styleId="Li-fyrirsagnir">
    <w:name w:val="Lið-fyrirsagnir"/>
    <w:basedOn w:val="Heading5"/>
    <w:next w:val="Normal"/>
    <w:link w:val="Li-fyrirsagnirChar"/>
    <w:qFormat/>
    <w:rsid w:val="00EC3694"/>
    <w:pPr>
      <w:keepNext w:val="0"/>
      <w:keepLines w:val="0"/>
      <w:tabs>
        <w:tab w:val="num" w:pos="1008"/>
        <w:tab w:val="left" w:pos="1134"/>
      </w:tabs>
      <w:spacing w:before="120"/>
      <w:ind w:hanging="851"/>
    </w:pPr>
    <w:rPr>
      <w:rFonts w:ascii="Times New Roman" w:eastAsia="Times New Roman" w:hAnsi="Times New Roman" w:cs="Times New Roman"/>
      <w:b/>
      <w:bCs/>
      <w:iCs/>
      <w:color w:val="auto"/>
      <w:szCs w:val="26"/>
    </w:rPr>
  </w:style>
  <w:style w:type="paragraph" w:styleId="NoSpacing">
    <w:name w:val="No Spacing"/>
    <w:aliases w:val="verkþáttur"/>
    <w:uiPriority w:val="1"/>
    <w:qFormat/>
    <w:rsid w:val="00EC3694"/>
    <w:pPr>
      <w:tabs>
        <w:tab w:val="left" w:pos="284"/>
        <w:tab w:val="left" w:pos="851"/>
        <w:tab w:val="left" w:pos="1134"/>
      </w:tabs>
      <w:spacing w:before="120" w:after="120" w:line="240" w:lineRule="auto"/>
      <w:ind w:left="851"/>
    </w:pPr>
    <w:rPr>
      <w:rFonts w:ascii="Times New Roman" w:eastAsiaTheme="minorEastAsia" w:hAnsi="Times New Roman"/>
      <w:sz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44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customStyle="1" w:styleId="Kaflafyrirsagnir">
    <w:name w:val="Kaflafyrirsagnir"/>
    <w:basedOn w:val="Heading1"/>
    <w:next w:val="Normal"/>
    <w:link w:val="KaflafyrirsagnirChar"/>
    <w:qFormat/>
    <w:rsid w:val="00EC3694"/>
    <w:pPr>
      <w:tabs>
        <w:tab w:val="left" w:pos="567"/>
        <w:tab w:val="left" w:pos="1134"/>
      </w:tabs>
      <w:spacing w:before="170" w:after="57"/>
      <w:ind w:left="709" w:right="40" w:hanging="709"/>
      <w:jc w:val="both"/>
    </w:pPr>
    <w:rPr>
      <w:rFonts w:ascii="Times" w:eastAsia="Times New Roman" w:hAnsi="Times" w:cs="Arial"/>
      <w:noProof/>
      <w:kern w:val="32"/>
      <w:szCs w:val="32"/>
      <w:lang w:eastAsia="is-IS"/>
    </w:rPr>
  </w:style>
  <w:style w:type="character" w:customStyle="1" w:styleId="KaflafyrirsagnirChar">
    <w:name w:val="Kaflafyrirsagnir Char"/>
    <w:link w:val="Kaflafyrirsagnir"/>
    <w:rsid w:val="00EC3694"/>
    <w:rPr>
      <w:rFonts w:ascii="Times" w:eastAsia="Times New Roman" w:hAnsi="Times" w:cs="Arial"/>
      <w:b/>
      <w:bCs/>
      <w:noProof/>
      <w:kern w:val="32"/>
      <w:sz w:val="24"/>
      <w:szCs w:val="32"/>
      <w:lang w:eastAsia="is-IS"/>
    </w:rPr>
  </w:style>
  <w:style w:type="character" w:customStyle="1" w:styleId="Li-fyrirsagnirChar">
    <w:name w:val="Lið-fyrirsagnir Char"/>
    <w:basedOn w:val="DefaultParagraphFont"/>
    <w:link w:val="Li-fyrirsagnir"/>
    <w:rsid w:val="00EC3694"/>
    <w:rPr>
      <w:rFonts w:ascii="Times New Roman" w:eastAsia="Times New Roman" w:hAnsi="Times New Roman" w:cs="Times New Roman"/>
      <w:b/>
      <w:bCs/>
      <w:iCs/>
      <w:sz w:val="24"/>
      <w:szCs w:val="26"/>
    </w:rPr>
  </w:style>
  <w:style w:type="paragraph" w:styleId="ListParagraph">
    <w:name w:val="List Paragraph"/>
    <w:basedOn w:val="Normal"/>
    <w:uiPriority w:val="34"/>
    <w:qFormat/>
    <w:rsid w:val="001D2B46"/>
    <w:pPr>
      <w:ind w:left="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E1B66"/>
    <w:pPr>
      <w:spacing w:before="240" w:after="0" w:line="259" w:lineRule="auto"/>
      <w:ind w:left="0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E1B66"/>
    <w:pPr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CE1B6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1B66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E1B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1B66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E1B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6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Gíslason</dc:creator>
  <cp:keywords/>
  <dc:description/>
  <cp:lastModifiedBy>Björgvin Brynjólfsson - VG</cp:lastModifiedBy>
  <cp:revision>6</cp:revision>
  <dcterms:created xsi:type="dcterms:W3CDTF">2022-01-25T15:23:00Z</dcterms:created>
  <dcterms:modified xsi:type="dcterms:W3CDTF">2023-05-02T15:18:00Z</dcterms:modified>
</cp:coreProperties>
</file>